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89004B">
      <w:pPr>
        <w:keepNext w:val="0"/>
        <w:keepLines w:val="0"/>
        <w:pageBreakBefore w:val="0"/>
        <w:widowControl w:val="0"/>
        <w:kinsoku/>
        <w:wordWrap/>
        <w:overflowPunct/>
        <w:topLinePunct w:val="0"/>
        <w:bidi w:val="0"/>
        <w:adjustRightInd/>
        <w:snapToGrid/>
        <w:spacing w:line="600" w:lineRule="exact"/>
        <w:rPr>
          <w:rFonts w:ascii="Times New Roman" w:hAnsi="Times New Roman"/>
          <w:color w:val="000000" w:themeColor="text1"/>
          <w14:textFill>
            <w14:solidFill>
              <w14:schemeClr w14:val="tx1"/>
            </w14:solidFill>
          </w14:textFill>
        </w:rPr>
      </w:pPr>
    </w:p>
    <w:p w14:paraId="1488368B">
      <w:pPr>
        <w:keepNext w:val="0"/>
        <w:keepLines w:val="0"/>
        <w:pageBreakBefore w:val="0"/>
        <w:widowControl w:val="0"/>
        <w:kinsoku/>
        <w:wordWrap/>
        <w:overflowPunct/>
        <w:topLinePunct w:val="0"/>
        <w:bidi w:val="0"/>
        <w:adjustRightInd/>
        <w:snapToGrid/>
        <w:spacing w:line="600" w:lineRule="exact"/>
        <w:jc w:val="center"/>
        <w:rPr>
          <w:rFonts w:hint="eastAsia" w:ascii="Times New Roman" w:hAnsi="Times New Roman" w:eastAsia="方正小标宋简体" w:cs="方正小标宋简体"/>
          <w:bCs/>
          <w:color w:val="000000" w:themeColor="text1"/>
          <w:sz w:val="44"/>
          <w:szCs w:val="44"/>
          <w14:textFill>
            <w14:solidFill>
              <w14:schemeClr w14:val="tx1"/>
            </w14:solidFill>
          </w14:textFill>
        </w:rPr>
      </w:pPr>
      <w:r>
        <w:rPr>
          <w:rFonts w:hint="eastAsia" w:ascii="Times New Roman" w:hAnsi="Times New Roman" w:eastAsia="方正小标宋简体" w:cs="方正小标宋简体"/>
          <w:bCs/>
          <w:color w:val="000000" w:themeColor="text1"/>
          <w:sz w:val="44"/>
          <w:szCs w:val="44"/>
          <w14:textFill>
            <w14:solidFill>
              <w14:schemeClr w14:val="tx1"/>
            </w14:solidFill>
          </w14:textFill>
        </w:rPr>
        <w:t>广东省食品行业协会团体标准《</w:t>
      </w:r>
      <w:r>
        <w:rPr>
          <w:rFonts w:hint="eastAsia" w:ascii="Times New Roman" w:hAnsi="Times New Roman" w:eastAsia="方正小标宋简体" w:cs="方正小标宋简体"/>
          <w:bCs/>
          <w:color w:val="000000" w:themeColor="text1"/>
          <w:sz w:val="44"/>
          <w:szCs w:val="44"/>
          <w:lang w:eastAsia="zh-CN"/>
          <w14:textFill>
            <w14:solidFill>
              <w14:schemeClr w14:val="tx1"/>
            </w14:solidFill>
          </w14:textFill>
        </w:rPr>
        <w:t>大米</w:t>
      </w:r>
      <w:r>
        <w:rPr>
          <w:rFonts w:hint="eastAsia" w:ascii="Times New Roman" w:hAnsi="Times New Roman" w:eastAsia="方正小标宋简体" w:cs="方正小标宋简体"/>
          <w:bCs/>
          <w:color w:val="000000" w:themeColor="text1"/>
          <w:sz w:val="44"/>
          <w:szCs w:val="44"/>
          <w14:textFill>
            <w14:solidFill>
              <w14:schemeClr w14:val="tx1"/>
            </w14:solidFill>
          </w14:textFill>
        </w:rPr>
        <w:t>中</w:t>
      </w:r>
    </w:p>
    <w:p w14:paraId="675B1295">
      <w:pPr>
        <w:keepNext w:val="0"/>
        <w:keepLines w:val="0"/>
        <w:pageBreakBefore w:val="0"/>
        <w:widowControl w:val="0"/>
        <w:kinsoku/>
        <w:wordWrap/>
        <w:overflowPunct/>
        <w:topLinePunct w:val="0"/>
        <w:bidi w:val="0"/>
        <w:adjustRightInd/>
        <w:snapToGrid/>
        <w:spacing w:line="600" w:lineRule="exact"/>
        <w:jc w:val="center"/>
        <w:rPr>
          <w:rFonts w:ascii="Times New Roman" w:hAnsi="Times New Roman" w:eastAsia="方正小标宋简体" w:cs="方正小标宋简体"/>
          <w:bCs/>
          <w:color w:val="000000" w:themeColor="text1"/>
          <w:sz w:val="44"/>
          <w:szCs w:val="44"/>
          <w14:textFill>
            <w14:solidFill>
              <w14:schemeClr w14:val="tx1"/>
            </w14:solidFill>
          </w14:textFill>
        </w:rPr>
      </w:pPr>
      <w:r>
        <w:rPr>
          <w:rFonts w:hint="eastAsia" w:ascii="Times New Roman" w:hAnsi="Times New Roman" w:eastAsia="方正小标宋简体" w:cs="方正小标宋简体"/>
          <w:bCs/>
          <w:color w:val="000000" w:themeColor="text1"/>
          <w:sz w:val="44"/>
          <w:szCs w:val="44"/>
          <w:lang w:eastAsia="zh-CN"/>
          <w14:textFill>
            <w14:solidFill>
              <w14:schemeClr w14:val="tx1"/>
            </w14:solidFill>
          </w14:textFill>
        </w:rPr>
        <w:t>直链淀粉</w:t>
      </w:r>
      <w:r>
        <w:rPr>
          <w:rFonts w:hint="eastAsia" w:ascii="Times New Roman" w:hAnsi="Times New Roman" w:eastAsia="方正小标宋简体" w:cs="方正小标宋简体"/>
          <w:bCs/>
          <w:color w:val="000000" w:themeColor="text1"/>
          <w:sz w:val="44"/>
          <w:szCs w:val="44"/>
          <w14:textFill>
            <w14:solidFill>
              <w14:schemeClr w14:val="tx1"/>
            </w14:solidFill>
          </w14:textFill>
        </w:rPr>
        <w:t>含量的测定</w:t>
      </w:r>
      <w:r>
        <w:rPr>
          <w:rFonts w:ascii="Times New Roman" w:hAnsi="Times New Roman" w:eastAsia="方正小标宋简体" w:cs="方正小标宋简体"/>
          <w:bCs/>
          <w:color w:val="000000" w:themeColor="text1"/>
          <w:sz w:val="44"/>
          <w:szCs w:val="44"/>
          <w14:textFill>
            <w14:solidFill>
              <w14:schemeClr w14:val="tx1"/>
            </w14:solidFill>
          </w14:textFill>
        </w:rPr>
        <w:t xml:space="preserve"> </w:t>
      </w:r>
      <w:r>
        <w:rPr>
          <w:rFonts w:hint="eastAsia" w:ascii="Times New Roman" w:hAnsi="Times New Roman" w:eastAsia="方正小标宋简体" w:cs="方正小标宋简体"/>
          <w:bCs/>
          <w:color w:val="000000" w:themeColor="text1"/>
          <w:sz w:val="44"/>
          <w:szCs w:val="44"/>
          <w14:textFill>
            <w14:solidFill>
              <w14:schemeClr w14:val="tx1"/>
            </w14:solidFill>
          </w14:textFill>
        </w:rPr>
        <w:t>近红外法》</w:t>
      </w:r>
    </w:p>
    <w:p w14:paraId="2D861333">
      <w:pPr>
        <w:keepNext w:val="0"/>
        <w:keepLines w:val="0"/>
        <w:pageBreakBefore w:val="0"/>
        <w:widowControl w:val="0"/>
        <w:kinsoku/>
        <w:wordWrap/>
        <w:overflowPunct/>
        <w:topLinePunct w:val="0"/>
        <w:bidi w:val="0"/>
        <w:adjustRightInd/>
        <w:snapToGrid/>
        <w:spacing w:line="600" w:lineRule="exact"/>
        <w:jc w:val="center"/>
        <w:rPr>
          <w:rFonts w:ascii="Times New Roman" w:hAnsi="Times New Roman" w:eastAsia="方正小标宋简体" w:cs="方正小标宋简体"/>
          <w:bCs/>
          <w:color w:val="000000" w:themeColor="text1"/>
          <w:sz w:val="44"/>
          <w:szCs w:val="44"/>
          <w14:textFill>
            <w14:solidFill>
              <w14:schemeClr w14:val="tx1"/>
            </w14:solidFill>
          </w14:textFill>
        </w:rPr>
      </w:pPr>
      <w:r>
        <w:rPr>
          <w:rFonts w:hint="eastAsia" w:ascii="Times New Roman" w:hAnsi="Times New Roman" w:eastAsia="方正小标宋简体" w:cs="方正小标宋简体"/>
          <w:bCs/>
          <w:color w:val="000000" w:themeColor="text1"/>
          <w:sz w:val="44"/>
          <w:szCs w:val="44"/>
          <w14:textFill>
            <w14:solidFill>
              <w14:schemeClr w14:val="tx1"/>
            </w14:solidFill>
          </w14:textFill>
        </w:rPr>
        <w:t>（</w:t>
      </w:r>
      <w:r>
        <w:rPr>
          <w:rFonts w:hint="eastAsia" w:ascii="Times New Roman" w:hAnsi="Times New Roman" w:eastAsia="方正小标宋简体" w:cs="方正小标宋简体"/>
          <w:bCs/>
          <w:color w:val="000000" w:themeColor="text1"/>
          <w:sz w:val="44"/>
          <w:szCs w:val="44"/>
          <w:lang w:val="en-US" w:eastAsia="zh-CN"/>
          <w14:textFill>
            <w14:solidFill>
              <w14:schemeClr w14:val="tx1"/>
            </w14:solidFill>
          </w14:textFill>
        </w:rPr>
        <w:t>征求意见</w:t>
      </w:r>
      <w:r>
        <w:rPr>
          <w:rFonts w:hint="eastAsia" w:ascii="Times New Roman" w:hAnsi="Times New Roman" w:eastAsia="方正小标宋简体" w:cs="方正小标宋简体"/>
          <w:bCs/>
          <w:color w:val="000000" w:themeColor="text1"/>
          <w:sz w:val="44"/>
          <w:szCs w:val="44"/>
          <w:lang w:eastAsia="zh-CN"/>
          <w14:textFill>
            <w14:solidFill>
              <w14:schemeClr w14:val="tx1"/>
            </w14:solidFill>
          </w14:textFill>
        </w:rPr>
        <w:t>稿</w:t>
      </w:r>
      <w:r>
        <w:rPr>
          <w:rFonts w:hint="eastAsia" w:ascii="Times New Roman" w:hAnsi="Times New Roman" w:eastAsia="方正小标宋简体" w:cs="方正小标宋简体"/>
          <w:bCs/>
          <w:color w:val="000000" w:themeColor="text1"/>
          <w:sz w:val="44"/>
          <w:szCs w:val="44"/>
          <w14:textFill>
            <w14:solidFill>
              <w14:schemeClr w14:val="tx1"/>
            </w14:solidFill>
          </w14:textFill>
        </w:rPr>
        <w:t>）编制说明</w:t>
      </w:r>
    </w:p>
    <w:p w14:paraId="60BDE826">
      <w:pPr>
        <w:keepNext w:val="0"/>
        <w:keepLines w:val="0"/>
        <w:pageBreakBefore w:val="0"/>
        <w:widowControl w:val="0"/>
        <w:kinsoku/>
        <w:wordWrap/>
        <w:overflowPunct/>
        <w:topLinePunct w:val="0"/>
        <w:bidi w:val="0"/>
        <w:adjustRightInd/>
        <w:snapToGrid/>
        <w:spacing w:line="600" w:lineRule="exact"/>
        <w:ind w:left="284"/>
        <w:rPr>
          <w:rFonts w:ascii="Times New Roman" w:hAnsi="Times New Roman" w:eastAsia="黑体"/>
          <w:b/>
          <w:bCs/>
          <w:color w:val="000000" w:themeColor="text1"/>
          <w:sz w:val="32"/>
          <w:szCs w:val="32"/>
          <w14:textFill>
            <w14:solidFill>
              <w14:schemeClr w14:val="tx1"/>
            </w14:solidFill>
          </w14:textFill>
        </w:rPr>
      </w:pPr>
    </w:p>
    <w:p w14:paraId="0249ECA0">
      <w:pPr>
        <w:keepNext w:val="0"/>
        <w:keepLines w:val="0"/>
        <w:pageBreakBefore w:val="0"/>
        <w:widowControl w:val="0"/>
        <w:kinsoku/>
        <w:wordWrap/>
        <w:overflowPunct/>
        <w:topLinePunct w:val="0"/>
        <w:bidi w:val="0"/>
        <w:adjustRightInd/>
        <w:snapToGrid/>
        <w:spacing w:line="600" w:lineRule="exact"/>
        <w:ind w:firstLine="640" w:firstLineChars="200"/>
        <w:rPr>
          <w:rFonts w:ascii="Times New Roman" w:hAnsi="Times New Roman" w:eastAsia="黑体" w:cs="黑体"/>
          <w:b w:val="0"/>
          <w:bCs w:val="0"/>
          <w:color w:val="000000" w:themeColor="text1"/>
          <w:sz w:val="32"/>
          <w:szCs w:val="32"/>
          <w14:textFill>
            <w14:solidFill>
              <w14:schemeClr w14:val="tx1"/>
            </w14:solidFill>
          </w14:textFill>
        </w:rPr>
      </w:pPr>
      <w:r>
        <w:rPr>
          <w:rFonts w:hint="eastAsia" w:ascii="Times New Roman" w:hAnsi="Times New Roman" w:eastAsia="黑体" w:cs="黑体"/>
          <w:b w:val="0"/>
          <w:bCs w:val="0"/>
          <w:color w:val="000000" w:themeColor="text1"/>
          <w:sz w:val="32"/>
          <w:szCs w:val="32"/>
          <w14:textFill>
            <w14:solidFill>
              <w14:schemeClr w14:val="tx1"/>
            </w14:solidFill>
          </w14:textFill>
        </w:rPr>
        <w:t>一、任务来源及起草单位</w:t>
      </w:r>
    </w:p>
    <w:p w14:paraId="58D320F2">
      <w:pPr>
        <w:keepNext w:val="0"/>
        <w:keepLines w:val="0"/>
        <w:pageBreakBefore w:val="0"/>
        <w:widowControl w:val="0"/>
        <w:kinsoku/>
        <w:wordWrap/>
        <w:overflowPunct/>
        <w:topLinePunct w:val="0"/>
        <w:bidi w:val="0"/>
        <w:adjustRightInd/>
        <w:snapToGrid/>
        <w:spacing w:line="600" w:lineRule="exact"/>
        <w:ind w:left="420" w:leftChars="200"/>
        <w:rPr>
          <w:rFonts w:ascii="Times New Roman" w:hAnsi="Times New Roman" w:eastAsia="楷体_GB2312" w:cs="楷体_GB2312"/>
          <w:b/>
          <w:bCs/>
          <w:color w:val="000000" w:themeColor="text1"/>
          <w:sz w:val="32"/>
          <w:szCs w:val="32"/>
          <w14:textFill>
            <w14:solidFill>
              <w14:schemeClr w14:val="tx1"/>
            </w14:solidFill>
          </w14:textFill>
        </w:rPr>
      </w:pPr>
      <w:r>
        <w:rPr>
          <w:rFonts w:hint="eastAsia" w:ascii="Times New Roman" w:hAnsi="Times New Roman" w:eastAsia="楷体_GB2312" w:cs="楷体_GB2312"/>
          <w:b/>
          <w:bCs/>
          <w:color w:val="000000" w:themeColor="text1"/>
          <w:sz w:val="32"/>
          <w:szCs w:val="32"/>
          <w14:textFill>
            <w14:solidFill>
              <w14:schemeClr w14:val="tx1"/>
            </w14:solidFill>
          </w14:textFill>
        </w:rPr>
        <w:t>（一）任务来源</w:t>
      </w:r>
    </w:p>
    <w:p w14:paraId="6F0AC8C8">
      <w:pPr>
        <w:keepNext w:val="0"/>
        <w:keepLines w:val="0"/>
        <w:pageBreakBefore w:val="0"/>
        <w:widowControl w:val="0"/>
        <w:kinsoku/>
        <w:wordWrap/>
        <w:overflowPunct/>
        <w:topLinePunct w:val="0"/>
        <w:bidi w:val="0"/>
        <w:adjustRightInd/>
        <w:snapToGrid/>
        <w:spacing w:line="600" w:lineRule="exact"/>
        <w:ind w:firstLine="640" w:firstLineChars="200"/>
        <w:rPr>
          <w:rFonts w:ascii="Times New Roman" w:hAnsi="Times New Roman" w:eastAsia="仿宋_GB2312" w:cs="仿宋_GB2312"/>
          <w:color w:val="000000" w:themeColor="text1"/>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本标准化文件由广东省食品行业协会质量专业委员会、广东省粮食和物资储备保障中心共同提出，根据《广东省食品行业协会团体标准管理办法（修订版）》的规定，由广东省食品工业标准化技术委员会秘书处立项审查，并经社会公示无异议后确定立项。</w:t>
      </w:r>
    </w:p>
    <w:p w14:paraId="083C9FF4">
      <w:pPr>
        <w:keepNext w:val="0"/>
        <w:keepLines w:val="0"/>
        <w:pageBreakBefore w:val="0"/>
        <w:widowControl w:val="0"/>
        <w:kinsoku/>
        <w:wordWrap/>
        <w:overflowPunct/>
        <w:topLinePunct w:val="0"/>
        <w:bidi w:val="0"/>
        <w:adjustRightInd/>
        <w:snapToGrid/>
        <w:spacing w:line="600" w:lineRule="exact"/>
        <w:ind w:left="420" w:leftChars="200"/>
        <w:rPr>
          <w:rFonts w:ascii="Times New Roman" w:hAnsi="Times New Roman" w:eastAsia="楷体_GB2312" w:cs="楷体_GB2312"/>
          <w:b/>
          <w:bCs/>
          <w:color w:val="000000" w:themeColor="text1"/>
          <w:sz w:val="32"/>
          <w:szCs w:val="32"/>
          <w14:textFill>
            <w14:solidFill>
              <w14:schemeClr w14:val="tx1"/>
            </w14:solidFill>
          </w14:textFill>
        </w:rPr>
      </w:pPr>
      <w:r>
        <w:rPr>
          <w:rFonts w:hint="eastAsia" w:ascii="Times New Roman" w:hAnsi="Times New Roman" w:eastAsia="楷体_GB2312" w:cs="楷体_GB2312"/>
          <w:b/>
          <w:bCs/>
          <w:color w:val="000000" w:themeColor="text1"/>
          <w:sz w:val="32"/>
          <w:szCs w:val="32"/>
          <w14:textFill>
            <w14:solidFill>
              <w14:schemeClr w14:val="tx1"/>
            </w14:solidFill>
          </w14:textFill>
        </w:rPr>
        <w:t>（二）起草单位</w:t>
      </w:r>
    </w:p>
    <w:p w14:paraId="131CCE69">
      <w:pPr>
        <w:keepNext w:val="0"/>
        <w:keepLines w:val="0"/>
        <w:pageBreakBefore w:val="0"/>
        <w:widowControl w:val="0"/>
        <w:kinsoku/>
        <w:wordWrap/>
        <w:overflowPunct/>
        <w:topLinePunct w:val="0"/>
        <w:bidi w:val="0"/>
        <w:adjustRightInd/>
        <w:snapToGrid/>
        <w:spacing w:line="600" w:lineRule="exact"/>
        <w:ind w:firstLine="640" w:firstLineChars="200"/>
        <w:rPr>
          <w:rFonts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起草单位为广东省食品行业协会质量专业委员会、广东省粮食和物资储备保障中心、广州市穗粮粮油产品质量检测中心有限公司</w:t>
      </w:r>
      <w:r>
        <w:rPr>
          <w:rFonts w:hint="eastAsia" w:ascii="Times New Roman" w:hAnsi="Times New Roman" w:eastAsia="仿宋_GB2312" w:cs="仿宋_GB2312"/>
          <w:color w:val="000000" w:themeColor="text1"/>
          <w:sz w:val="32"/>
          <w:szCs w:val="32"/>
          <w:lang w:eastAsia="zh-CN"/>
          <w14:textFill>
            <w14:solidFill>
              <w14:schemeClr w14:val="tx1"/>
            </w14:solidFill>
          </w14:textFill>
        </w:rPr>
        <w:t>、广东省储备粮管理集团有限公司梅州直属库、佛山市粮油储备有限公司、惠州市粮油质量检测中心、广州市番禺粮食储备有限公司、</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谱晟天创光学科技（上海）有限公司、</w:t>
      </w:r>
      <w:r>
        <w:rPr>
          <w:rFonts w:hint="eastAsia" w:ascii="Times New Roman" w:hAnsi="Times New Roman" w:eastAsia="仿宋_GB2312" w:cs="仿宋_GB2312"/>
          <w:color w:val="000000" w:themeColor="text1"/>
          <w:sz w:val="32"/>
          <w:szCs w:val="32"/>
          <w:lang w:eastAsia="zh-CN"/>
          <w14:textFill>
            <w14:solidFill>
              <w14:schemeClr w14:val="tx1"/>
            </w14:solidFill>
          </w14:textFill>
        </w:rPr>
        <w:t>珀</w:t>
      </w:r>
      <w:r>
        <w:rPr>
          <w:rFonts w:hint="eastAsia" w:ascii="Times New Roman" w:hAnsi="Times New Roman" w:eastAsia="仿宋_GB2312" w:cs="仿宋_GB2312"/>
          <w:color w:val="000000" w:themeColor="text1"/>
          <w:sz w:val="32"/>
          <w:szCs w:val="32"/>
          <w14:textFill>
            <w14:solidFill>
              <w14:schemeClr w14:val="tx1"/>
            </w14:solidFill>
          </w14:textFill>
        </w:rPr>
        <w:t>金埃尔默企业管理（上海）有限公司等。各起草单位分别推荐从事标准化或《</w:t>
      </w:r>
      <w:r>
        <w:rPr>
          <w:rFonts w:hint="eastAsia" w:ascii="Times New Roman" w:hAnsi="Times New Roman" w:eastAsia="仿宋_GB2312" w:cs="仿宋_GB2312"/>
          <w:color w:val="000000" w:themeColor="text1"/>
          <w:sz w:val="32"/>
          <w:szCs w:val="32"/>
          <w:lang w:eastAsia="zh-CN"/>
          <w14:textFill>
            <w14:solidFill>
              <w14:schemeClr w14:val="tx1"/>
            </w14:solidFill>
          </w14:textFill>
        </w:rPr>
        <w:t>大米</w:t>
      </w:r>
      <w:r>
        <w:rPr>
          <w:rFonts w:hint="eastAsia" w:ascii="Times New Roman" w:hAnsi="Times New Roman" w:eastAsia="仿宋_GB2312" w:cs="仿宋_GB2312"/>
          <w:color w:val="000000" w:themeColor="text1"/>
          <w:sz w:val="32"/>
          <w:szCs w:val="32"/>
          <w14:textFill>
            <w14:solidFill>
              <w14:schemeClr w14:val="tx1"/>
            </w14:solidFill>
          </w14:textFill>
        </w:rPr>
        <w:t>中</w:t>
      </w:r>
      <w:r>
        <w:rPr>
          <w:rFonts w:hint="eastAsia" w:ascii="Times New Roman" w:hAnsi="Times New Roman" w:eastAsia="仿宋_GB2312" w:cs="仿宋_GB2312"/>
          <w:color w:val="000000" w:themeColor="text1"/>
          <w:sz w:val="32"/>
          <w:szCs w:val="32"/>
          <w:lang w:eastAsia="zh-CN"/>
          <w14:textFill>
            <w14:solidFill>
              <w14:schemeClr w14:val="tx1"/>
            </w14:solidFill>
          </w14:textFill>
        </w:rPr>
        <w:t>直链淀粉</w:t>
      </w:r>
      <w:r>
        <w:rPr>
          <w:rFonts w:hint="eastAsia" w:ascii="Times New Roman" w:hAnsi="Times New Roman" w:eastAsia="仿宋_GB2312" w:cs="仿宋_GB2312"/>
          <w:color w:val="000000" w:themeColor="text1"/>
          <w:sz w:val="32"/>
          <w:szCs w:val="32"/>
          <w14:textFill>
            <w14:solidFill>
              <w14:schemeClr w14:val="tx1"/>
            </w14:solidFill>
          </w14:textFill>
        </w:rPr>
        <w:t>含量的测定</w:t>
      </w:r>
      <w:r>
        <w:rPr>
          <w:rFonts w:ascii="Times New Roman" w:hAnsi="Times New Roman" w:eastAsia="仿宋_GB2312" w:cs="仿宋_GB2312"/>
          <w:color w:val="000000" w:themeColor="text1"/>
          <w:sz w:val="32"/>
          <w:szCs w:val="32"/>
          <w14:textFill>
            <w14:solidFill>
              <w14:schemeClr w14:val="tx1"/>
            </w14:solidFill>
          </w14:textFill>
        </w:rPr>
        <w:t xml:space="preserve"> </w:t>
      </w:r>
      <w:r>
        <w:rPr>
          <w:rFonts w:hint="eastAsia" w:ascii="Times New Roman" w:hAnsi="Times New Roman" w:eastAsia="仿宋_GB2312" w:cs="仿宋_GB2312"/>
          <w:color w:val="000000" w:themeColor="text1"/>
          <w:sz w:val="32"/>
          <w:szCs w:val="32"/>
          <w14:textFill>
            <w14:solidFill>
              <w14:schemeClr w14:val="tx1"/>
            </w14:solidFill>
          </w14:textFill>
        </w:rPr>
        <w:t>近红外法》研发、验证的人员作为标准起草人，组成起草组。</w:t>
      </w:r>
    </w:p>
    <w:p w14:paraId="7A6F525E">
      <w:pPr>
        <w:keepNext w:val="0"/>
        <w:keepLines w:val="0"/>
        <w:pageBreakBefore w:val="0"/>
        <w:widowControl w:val="0"/>
        <w:kinsoku/>
        <w:wordWrap/>
        <w:overflowPunct/>
        <w:topLinePunct w:val="0"/>
        <w:bidi w:val="0"/>
        <w:adjustRightInd/>
        <w:snapToGrid/>
        <w:spacing w:line="600" w:lineRule="exact"/>
        <w:ind w:left="420" w:leftChars="200"/>
        <w:rPr>
          <w:rFonts w:ascii="Times New Roman" w:hAnsi="Times New Roman" w:eastAsia="仿宋_GB2312" w:cs="仿宋_GB2312"/>
          <w:b/>
          <w:bCs/>
          <w:color w:val="000000" w:themeColor="text1"/>
          <w:sz w:val="32"/>
          <w:szCs w:val="32"/>
          <w14:textFill>
            <w14:solidFill>
              <w14:schemeClr w14:val="tx1"/>
            </w14:solidFill>
          </w14:textFill>
        </w:rPr>
      </w:pPr>
      <w:r>
        <w:rPr>
          <w:rFonts w:hint="eastAsia" w:ascii="Times New Roman" w:hAnsi="Times New Roman" w:eastAsia="仿宋_GB2312" w:cs="仿宋_GB2312"/>
          <w:b/>
          <w:bCs/>
          <w:color w:val="000000" w:themeColor="text1"/>
          <w:sz w:val="32"/>
          <w:szCs w:val="32"/>
          <w14:textFill>
            <w14:solidFill>
              <w14:schemeClr w14:val="tx1"/>
            </w14:solidFill>
          </w14:textFill>
        </w:rPr>
        <w:t>（三）起草组分工</w:t>
      </w:r>
    </w:p>
    <w:p w14:paraId="6CF11464">
      <w:pPr>
        <w:keepNext w:val="0"/>
        <w:keepLines w:val="0"/>
        <w:pageBreakBefore w:val="0"/>
        <w:widowControl w:val="0"/>
        <w:kinsoku/>
        <w:wordWrap/>
        <w:overflowPunct/>
        <w:topLinePunct w:val="0"/>
        <w:bidi w:val="0"/>
        <w:adjustRightInd/>
        <w:snapToGrid/>
        <w:spacing w:line="600" w:lineRule="exact"/>
        <w:ind w:firstLine="640" w:firstLineChars="200"/>
        <w:rPr>
          <w:rFonts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朱启思为组长，张少波、曾初欢为副组长，负责统筹、设计、起草、审核；其他人员负责协助收集有关资料，配合相关指标测试，标准内容的修改，参与调研并进行讨论，集合各方意见等工作。</w:t>
      </w:r>
    </w:p>
    <w:p w14:paraId="3C0304AD">
      <w:pPr>
        <w:keepNext w:val="0"/>
        <w:keepLines w:val="0"/>
        <w:pageBreakBefore w:val="0"/>
        <w:widowControl w:val="0"/>
        <w:kinsoku/>
        <w:wordWrap/>
        <w:overflowPunct/>
        <w:topLinePunct w:val="0"/>
        <w:bidi w:val="0"/>
        <w:adjustRightInd/>
        <w:snapToGrid/>
        <w:spacing w:line="600" w:lineRule="exact"/>
        <w:ind w:firstLine="643" w:firstLineChars="200"/>
        <w:rPr>
          <w:rFonts w:ascii="Times New Roman" w:hAnsi="Times New Roman" w:eastAsia="黑体" w:cs="黑体"/>
          <w:b/>
          <w:bCs/>
          <w:color w:val="000000" w:themeColor="text1"/>
          <w:sz w:val="32"/>
          <w:szCs w:val="32"/>
          <w14:textFill>
            <w14:solidFill>
              <w14:schemeClr w14:val="tx1"/>
            </w14:solidFill>
          </w14:textFill>
        </w:rPr>
      </w:pPr>
      <w:r>
        <w:rPr>
          <w:rFonts w:hint="eastAsia" w:ascii="Times New Roman" w:hAnsi="Times New Roman" w:eastAsia="黑体" w:cs="黑体"/>
          <w:b/>
          <w:bCs/>
          <w:color w:val="000000" w:themeColor="text1"/>
          <w:sz w:val="32"/>
          <w:szCs w:val="32"/>
          <w14:textFill>
            <w14:solidFill>
              <w14:schemeClr w14:val="tx1"/>
            </w14:solidFill>
          </w14:textFill>
        </w:rPr>
        <w:t>二、标准制订的目的和意义</w:t>
      </w:r>
    </w:p>
    <w:p w14:paraId="0063C1FC">
      <w:pPr>
        <w:keepNext w:val="0"/>
        <w:keepLines w:val="0"/>
        <w:pageBreakBefore w:val="0"/>
        <w:widowControl w:val="0"/>
        <w:kinsoku/>
        <w:wordWrap/>
        <w:overflowPunct/>
        <w:topLinePunct w:val="0"/>
        <w:bidi w:val="0"/>
        <w:adjustRightInd/>
        <w:snapToGrid/>
        <w:spacing w:line="600" w:lineRule="exact"/>
        <w:ind w:left="420" w:leftChars="200"/>
        <w:rPr>
          <w:rFonts w:hint="default" w:ascii="Times New Roman" w:hAnsi="Times New Roman" w:eastAsia="楷体_GB2312" w:cs="楷体_GB2312"/>
          <w:b/>
          <w:bCs/>
          <w:color w:val="000000" w:themeColor="text1"/>
          <w:sz w:val="32"/>
          <w:szCs w:val="32"/>
          <w:lang w:val="en-US" w:eastAsia="zh-CN"/>
          <w14:textFill>
            <w14:solidFill>
              <w14:schemeClr w14:val="tx1"/>
            </w14:solidFill>
          </w14:textFill>
        </w:rPr>
      </w:pPr>
      <w:r>
        <w:rPr>
          <w:rFonts w:hint="eastAsia" w:ascii="Times New Roman" w:hAnsi="Times New Roman" w:eastAsia="楷体_GB2312" w:cs="楷体_GB2312"/>
          <w:b/>
          <w:bCs/>
          <w:color w:val="000000" w:themeColor="text1"/>
          <w:sz w:val="32"/>
          <w:szCs w:val="32"/>
          <w:lang w:val="en-US" w:eastAsia="zh-CN"/>
          <w14:textFill>
            <w14:solidFill>
              <w14:schemeClr w14:val="tx1"/>
            </w14:solidFill>
          </w14:textFill>
        </w:rPr>
        <w:t>（一）快速准确测定直链淀粉含量具有重要意义</w:t>
      </w:r>
    </w:p>
    <w:p w14:paraId="2FD96DC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作为世界上最大的稻米生产国，大米一直是我国传统主食。随着生活水平的提高，人们对大米的要求已由过去的“吃饱”转为“吃好”，优质大米越来越受到市场的欢迎。</w:t>
      </w:r>
      <w:r>
        <w:rPr>
          <w:rFonts w:hint="default" w:ascii="Times New Roman" w:hAnsi="Times New Roman" w:eastAsia="仿宋_GB2312" w:cs="仿宋_GB2312"/>
          <w:color w:val="000000" w:themeColor="text1"/>
          <w:sz w:val="32"/>
          <w:szCs w:val="32"/>
          <w:lang w:val="en-US" w:eastAsia="zh-CN"/>
          <w14:textFill>
            <w14:solidFill>
              <w14:schemeClr w14:val="tx1"/>
            </w14:solidFill>
          </w14:textFill>
        </w:rPr>
        <w:t>‌直链淀粉含量被认为是影响大米蒸煮食用品质</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和外观品质</w:t>
      </w:r>
      <w:r>
        <w:rPr>
          <w:rFonts w:hint="default" w:ascii="Times New Roman" w:hAnsi="Times New Roman" w:eastAsia="仿宋_GB2312" w:cs="仿宋_GB2312"/>
          <w:color w:val="000000" w:themeColor="text1"/>
          <w:sz w:val="32"/>
          <w:szCs w:val="32"/>
          <w:lang w:val="en-US" w:eastAsia="zh-CN"/>
          <w14:textFill>
            <w14:solidFill>
              <w14:schemeClr w14:val="tx1"/>
            </w14:solidFill>
          </w14:textFill>
        </w:rPr>
        <w:t>的最主要因素之一，它决定了大米的质地、口感和营养价值</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一般中至低等直链淀粉含量的米饭较软，适口性更好，饭粒光泽度较好，而高直链淀粉的米饭较硬，适口性较差，但在预防糖尿病和肥胖症等方面具有一定的医用价值。直链淀粉还影响稻米的加工特性。直链淀粉含量高的大米制作的米粉丝口感筋道、耐煮性好，而直链淀粉含量低的大米制作的米粉丝口感柔软、易糊化。</w:t>
      </w:r>
    </w:p>
    <w:p w14:paraId="37F7221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直链淀粉本身也有着多样的性能和用途，涉及食品、医疗保健、材料、纺织、造纸、包装、环保等多个领域，如直链淀粉可用作食品添加剂、增厚剂、固定剂和包衣剂，还可用于制作对氧和油脂具有良好隔绝性的产品保护层等。用高直链淀粉制作的食品对糖尿病等具有预防和辅助治疗效果，还具有防止胆结石形成及降低胆固醇的作用，在肥胖食品中也具有很重要的应用价值。高直链淀粉是制造生物可降解塑料的最佳原料，对于解决目前日益严重的白色污染和石油资源乏是一条很有效的途径。</w:t>
      </w:r>
    </w:p>
    <w:p w14:paraId="2B8D3A7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可见，大米直链淀粉含量影响着大米的食用品质和加工特性，并且具有广泛的工业用途，决定着大米的经济价值。因此，快速准确测定直链淀粉含量对稻米的合理加工、淀粉的合理利用、农业选种育种、提高我国大米的市场竞争力具有重要意义。</w:t>
      </w:r>
    </w:p>
    <w:p w14:paraId="1D7DDDB3">
      <w:pPr>
        <w:keepNext w:val="0"/>
        <w:keepLines w:val="0"/>
        <w:pageBreakBefore w:val="0"/>
        <w:widowControl w:val="0"/>
        <w:kinsoku/>
        <w:wordWrap/>
        <w:overflowPunct/>
        <w:topLinePunct w:val="0"/>
        <w:bidi w:val="0"/>
        <w:adjustRightInd/>
        <w:snapToGrid/>
        <w:spacing w:line="600" w:lineRule="exact"/>
        <w:ind w:left="420" w:leftChars="200"/>
        <w:rPr>
          <w:rFonts w:hint="default" w:ascii="Times New Roman" w:hAnsi="Times New Roman" w:eastAsia="楷体_GB2312" w:cs="楷体_GB2312"/>
          <w:b/>
          <w:bCs/>
          <w:color w:val="000000" w:themeColor="text1"/>
          <w:sz w:val="32"/>
          <w:szCs w:val="32"/>
          <w:lang w:val="en-US" w:eastAsia="zh-CN"/>
          <w14:textFill>
            <w14:solidFill>
              <w14:schemeClr w14:val="tx1"/>
            </w14:solidFill>
          </w14:textFill>
        </w:rPr>
      </w:pPr>
      <w:r>
        <w:rPr>
          <w:rFonts w:hint="eastAsia" w:ascii="Times New Roman" w:hAnsi="Times New Roman" w:eastAsia="楷体_GB2312" w:cs="楷体_GB2312"/>
          <w:b/>
          <w:bCs/>
          <w:color w:val="000000" w:themeColor="text1"/>
          <w:sz w:val="32"/>
          <w:szCs w:val="32"/>
          <w:lang w:val="en-US" w:eastAsia="zh-CN"/>
          <w14:textFill>
            <w14:solidFill>
              <w14:schemeClr w14:val="tx1"/>
            </w14:solidFill>
          </w14:textFill>
        </w:rPr>
        <w:t>（二）现行标准方法有待改进</w:t>
      </w:r>
    </w:p>
    <w:p w14:paraId="20101AA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直链淀粉含量测定的主要方法是由Wi1liams等提出的碘比色法，原理是根据碘与直链淀粉作用产生蓝色，与支链淀粉作用产生红紫色，而淀粉则随两种组分含量的不同而呈现不同程度的蓝紫色，用比色法可测出样品中两种组分的含量，其操作过程比较复杂、费时。后来Juliano等对该方法进行了改进，使测定时间简化到几个小时，目前国内外普遍采用这种方法作为标准方法，包括GB/T 15683《粮油检验 大米直链淀粉含量的测定》、ISO 6647-2:2020《大米直链淀粉含量的测定第2部分:无脱脂和按大米标准校准的分光光度法》、原农业部标准NY/T 2639-2014《稻米直链淀粉的测定 分光光度法》和NY/T 55-1987 (GB 7648-1987）《水稻、玉米、谷子籽粒直链淀粉测定法》等。这种方法的优点是技术成熟，易操作，对仪器设备要求不高，因此被广泛采用。此法在实验室测定样品数目相对少的情况下还是可行的，但因为技术性强、操作复杂、耗费时间，无法实施有效、快捷的检测，对大批量样品检测相当困难。因此，开发快速、准确的直链淀粉含量检测方法十分有意义。</w:t>
      </w:r>
    </w:p>
    <w:p w14:paraId="3B6C723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楷体_GB2312" w:cs="楷体_GB2312"/>
          <w:b/>
          <w:bCs/>
          <w:color w:val="000000" w:themeColor="text1"/>
          <w:sz w:val="32"/>
          <w:szCs w:val="32"/>
          <w:lang w:val="en-US" w:eastAsia="zh-CN"/>
          <w14:textFill>
            <w14:solidFill>
              <w14:schemeClr w14:val="tx1"/>
            </w14:solidFill>
          </w14:textFill>
        </w:rPr>
      </w:pPr>
      <w:r>
        <w:rPr>
          <w:rFonts w:hint="eastAsia" w:ascii="Times New Roman" w:hAnsi="Times New Roman" w:eastAsia="楷体_GB2312" w:cs="楷体_GB2312"/>
          <w:b/>
          <w:bCs/>
          <w:color w:val="000000" w:themeColor="text1"/>
          <w:sz w:val="32"/>
          <w:szCs w:val="32"/>
          <w:lang w:val="en-US" w:eastAsia="zh-CN"/>
          <w14:textFill>
            <w14:solidFill>
              <w14:schemeClr w14:val="tx1"/>
            </w14:solidFill>
          </w14:textFill>
        </w:rPr>
        <w:t>（三）近红外光谱分析法是实现直链淀粉含量快速定量检测的有效途径</w:t>
      </w:r>
    </w:p>
    <w:p w14:paraId="3A6418F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近红外光谱分析（Near-infrared reflectance spectroscopy, NIRS）</w:t>
      </w:r>
      <w:r>
        <w:rPr>
          <w:rFonts w:hint="eastAsia" w:ascii="Times New Roman" w:hAnsi="Times New Roman" w:eastAsia="仿宋_GB2312" w:cs="仿宋_GB2312"/>
          <w:color w:val="000000" w:themeColor="text1"/>
          <w:sz w:val="32"/>
          <w:szCs w:val="32"/>
          <w14:textFill>
            <w14:solidFill>
              <w14:schemeClr w14:val="tx1"/>
            </w14:solidFill>
          </w14:textFill>
        </w:rPr>
        <w:t>是</w:t>
      </w:r>
      <w:r>
        <w:rPr>
          <w:rFonts w:hint="eastAsia" w:ascii="Times New Roman" w:hAnsi="Times New Roman" w:eastAsia="仿宋_GB2312" w:cs="仿宋_GB2312"/>
          <w:color w:val="000000" w:themeColor="text1"/>
          <w:sz w:val="32"/>
          <w:szCs w:val="32"/>
          <w:lang w:eastAsia="zh-CN"/>
          <w14:textFill>
            <w14:solidFill>
              <w14:schemeClr w14:val="tx1"/>
            </w14:solidFill>
          </w14:textFill>
        </w:rPr>
        <w:t>目前最热门的定量分析技术之一</w:t>
      </w:r>
      <w:r>
        <w:rPr>
          <w:rFonts w:hint="eastAsia" w:ascii="Times New Roman" w:hAnsi="Times New Roman"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lang w:eastAsia="zh-CN"/>
          <w14:textFill>
            <w14:solidFill>
              <w14:schemeClr w14:val="tx1"/>
            </w14:solidFill>
          </w14:textFill>
        </w:rPr>
        <w:t>其最大的优点是</w:t>
      </w:r>
      <w:r>
        <w:rPr>
          <w:rFonts w:hint="eastAsia" w:ascii="Times New Roman" w:hAnsi="Times New Roman" w:eastAsia="仿宋_GB2312" w:cs="仿宋_GB2312"/>
          <w:color w:val="000000" w:themeColor="text1"/>
          <w:sz w:val="32"/>
          <w:szCs w:val="32"/>
          <w14:textFill>
            <w14:solidFill>
              <w14:schemeClr w14:val="tx1"/>
            </w14:solidFill>
          </w14:textFill>
        </w:rPr>
        <w:t>快速无损检测。检索发现，</w:t>
      </w:r>
      <w:r>
        <w:rPr>
          <w:rFonts w:hint="eastAsia" w:ascii="Times New Roman" w:hAnsi="Times New Roman" w:eastAsia="仿宋_GB2312" w:cs="仿宋_GB2312"/>
          <w:color w:val="000000" w:themeColor="text1"/>
          <w:sz w:val="32"/>
          <w:szCs w:val="32"/>
          <w:lang w:eastAsia="zh-CN"/>
          <w14:textFill>
            <w14:solidFill>
              <w14:schemeClr w14:val="tx1"/>
            </w14:solidFill>
          </w14:textFill>
        </w:rPr>
        <w:t>早在</w:t>
      </w:r>
      <w:r>
        <w:rPr>
          <w:rFonts w:hint="eastAsia" w:ascii="Times New Roman" w:hAnsi="Times New Roman" w:eastAsia="仿宋_GB2312" w:cs="仿宋_GB2312"/>
          <w:color w:val="000000" w:themeColor="text1"/>
          <w:sz w:val="32"/>
          <w:szCs w:val="32"/>
          <w14:textFill>
            <w14:solidFill>
              <w14:schemeClr w14:val="tx1"/>
            </w14:solidFill>
          </w14:textFill>
        </w:rPr>
        <w:t>上世纪</w:t>
      </w:r>
      <w:r>
        <w:rPr>
          <w:rFonts w:ascii="Times New Roman" w:hAnsi="Times New Roman" w:eastAsia="仿宋_GB2312"/>
          <w:color w:val="000000" w:themeColor="text1"/>
          <w:sz w:val="32"/>
          <w:szCs w:val="32"/>
          <w14:textFill>
            <w14:solidFill>
              <w14:schemeClr w14:val="tx1"/>
            </w14:solidFill>
          </w14:textFill>
        </w:rPr>
        <w:t>70</w:t>
      </w:r>
      <w:r>
        <w:rPr>
          <w:rFonts w:hint="eastAsia" w:ascii="Times New Roman" w:hAnsi="Times New Roman" w:eastAsia="仿宋_GB2312" w:cs="仿宋_GB2312"/>
          <w:color w:val="000000" w:themeColor="text1"/>
          <w:sz w:val="32"/>
          <w:szCs w:val="32"/>
          <w14:textFill>
            <w14:solidFill>
              <w14:schemeClr w14:val="tx1"/>
            </w14:solidFill>
          </w14:textFill>
        </w:rPr>
        <w:t>年代，已有研究发现可以利用食品成分对近红外光的吸收特性，对肉制品、乳制品、谷物类、饲料等的水分、蛋白质、脂质、氨基酸等指标进行有效的无损检测。</w:t>
      </w:r>
      <w:r>
        <w:rPr>
          <w:rFonts w:ascii="Times New Roman" w:hAnsi="Times New Roman" w:eastAsia="仿宋_GB2312"/>
          <w:color w:val="000000" w:themeColor="text1"/>
          <w:sz w:val="32"/>
          <w:szCs w:val="32"/>
          <w14:textFill>
            <w14:solidFill>
              <w14:schemeClr w14:val="tx1"/>
            </w14:solidFill>
          </w14:textFill>
        </w:rPr>
        <w:t>1978</w:t>
      </w:r>
      <w:r>
        <w:rPr>
          <w:rFonts w:hint="eastAsia" w:ascii="Times New Roman" w:hAnsi="Times New Roman" w:eastAsia="仿宋_GB2312" w:cs="仿宋_GB2312"/>
          <w:color w:val="000000" w:themeColor="text1"/>
          <w:sz w:val="32"/>
          <w:szCs w:val="32"/>
          <w14:textFill>
            <w14:solidFill>
              <w14:schemeClr w14:val="tx1"/>
            </w14:solidFill>
          </w14:textFill>
        </w:rPr>
        <w:t>年美国联邦谷物检验署（</w:t>
      </w:r>
      <w:r>
        <w:rPr>
          <w:rFonts w:ascii="Times New Roman" w:hAnsi="Times New Roman" w:eastAsia="仿宋_GB2312"/>
          <w:color w:val="000000" w:themeColor="text1"/>
          <w:sz w:val="32"/>
          <w:szCs w:val="32"/>
          <w14:textFill>
            <w14:solidFill>
              <w14:schemeClr w14:val="tx1"/>
            </w14:solidFill>
          </w14:textFill>
        </w:rPr>
        <w:t>Federal Grain Inspection Service</w:t>
      </w:r>
      <w:r>
        <w:rPr>
          <w:rFonts w:hint="eastAsia" w:ascii="Times New Roman" w:hAnsi="Times New Roman" w:eastAsia="仿宋_GB2312" w:cs="仿宋_GB2312"/>
          <w:color w:val="000000" w:themeColor="text1"/>
          <w:sz w:val="32"/>
          <w:szCs w:val="32"/>
          <w14:textFill>
            <w14:solidFill>
              <w14:schemeClr w14:val="tx1"/>
            </w14:solidFill>
          </w14:textFill>
        </w:rPr>
        <w:t>）和加拿大谷物委员会（</w:t>
      </w:r>
      <w:r>
        <w:rPr>
          <w:rFonts w:ascii="Times New Roman" w:hAnsi="Times New Roman" w:eastAsia="仿宋_GB2312"/>
          <w:color w:val="000000" w:themeColor="text1"/>
          <w:sz w:val="32"/>
          <w:szCs w:val="32"/>
          <w14:textFill>
            <w14:solidFill>
              <w14:schemeClr w14:val="tx1"/>
            </w14:solidFill>
          </w14:textFill>
        </w:rPr>
        <w:t>Canadian Grain Commission</w:t>
      </w:r>
      <w:r>
        <w:rPr>
          <w:rFonts w:hint="eastAsia" w:ascii="Times New Roman" w:hAnsi="Times New Roman" w:eastAsia="仿宋_GB2312" w:cs="仿宋_GB2312"/>
          <w:color w:val="000000" w:themeColor="text1"/>
          <w:sz w:val="32"/>
          <w:szCs w:val="32"/>
          <w14:textFill>
            <w14:solidFill>
              <w14:schemeClr w14:val="tx1"/>
            </w14:solidFill>
          </w14:textFill>
        </w:rPr>
        <w:t>）把近红外测定法作为国家标准，取代了原有的谷类蛋白定量测定法</w:t>
      </w:r>
      <w:r>
        <w:rPr>
          <w:rFonts w:hint="eastAsia" w:ascii="Times New Roman" w:hAnsi="Times New Roman" w:eastAsia="仿宋_GB2312" w:cs="仿宋_GB2312"/>
          <w:color w:val="000000" w:themeColor="text1"/>
          <w:sz w:val="32"/>
          <w:szCs w:val="32"/>
          <w:lang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近年来</w:t>
      </w:r>
      <w:r>
        <w:rPr>
          <w:rFonts w:hint="eastAsia" w:ascii="Times New Roman" w:hAnsi="Times New Roman" w:eastAsia="仿宋_GB2312" w:cs="仿宋_GB2312"/>
          <w:color w:val="000000" w:themeColor="text1"/>
          <w:sz w:val="32"/>
          <w:szCs w:val="32"/>
          <w:lang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国内在大豆、油菜籽、玉米、小麦等领域</w:t>
      </w:r>
      <w:r>
        <w:rPr>
          <w:rFonts w:hint="eastAsia" w:ascii="Times New Roman" w:hAnsi="Times New Roman" w:eastAsia="仿宋_GB2312" w:cs="仿宋_GB2312"/>
          <w:color w:val="000000" w:themeColor="text1"/>
          <w:sz w:val="32"/>
          <w:szCs w:val="32"/>
          <w:lang w:eastAsia="zh-CN"/>
          <w14:textFill>
            <w14:solidFill>
              <w14:schemeClr w14:val="tx1"/>
            </w14:solidFill>
          </w14:textFill>
        </w:rPr>
        <w:t>也</w:t>
      </w:r>
      <w:r>
        <w:rPr>
          <w:rFonts w:hint="eastAsia" w:ascii="Times New Roman" w:hAnsi="Times New Roman" w:eastAsia="仿宋_GB2312" w:cs="仿宋_GB2312"/>
          <w:color w:val="000000" w:themeColor="text1"/>
          <w:sz w:val="32"/>
          <w:szCs w:val="32"/>
          <w14:textFill>
            <w14:solidFill>
              <w14:schemeClr w14:val="tx1"/>
            </w14:solidFill>
          </w14:textFill>
        </w:rPr>
        <w:t>有广泛应用</w:t>
      </w:r>
      <w:r>
        <w:rPr>
          <w:rFonts w:hint="eastAsia" w:ascii="Times New Roman" w:hAnsi="Times New Roman" w:eastAsia="仿宋_GB2312" w:cs="仿宋_GB2312"/>
          <w:color w:val="000000" w:themeColor="text1"/>
          <w:sz w:val="32"/>
          <w:szCs w:val="32"/>
          <w:lang w:eastAsia="zh-CN"/>
          <w14:textFill>
            <w14:solidFill>
              <w14:schemeClr w14:val="tx1"/>
            </w14:solidFill>
          </w14:textFill>
        </w:rPr>
        <w:t>，建立了大量标准</w:t>
      </w:r>
      <w:r>
        <w:rPr>
          <w:rFonts w:hint="eastAsia" w:ascii="Times New Roman" w:hAnsi="Times New Roman" w:eastAsia="仿宋_GB2312" w:cs="仿宋_GB2312"/>
          <w:color w:val="000000" w:themeColor="text1"/>
          <w:sz w:val="32"/>
          <w:szCs w:val="32"/>
          <w14:textFill>
            <w14:solidFill>
              <w14:schemeClr w14:val="tx1"/>
            </w14:solidFill>
          </w14:textFill>
        </w:rPr>
        <w:t>。在</w:t>
      </w:r>
      <w:r>
        <w:rPr>
          <w:rFonts w:hint="eastAsia" w:ascii="Times New Roman" w:hAnsi="Times New Roman" w:eastAsia="仿宋_GB2312" w:cs="仿宋_GB2312"/>
          <w:color w:val="000000" w:themeColor="text1"/>
          <w:sz w:val="32"/>
          <w:szCs w:val="32"/>
          <w:lang w:eastAsia="zh-CN"/>
          <w14:textFill>
            <w14:solidFill>
              <w14:schemeClr w14:val="tx1"/>
            </w14:solidFill>
          </w14:textFill>
        </w:rPr>
        <w:t>大米</w:t>
      </w:r>
      <w:r>
        <w:rPr>
          <w:rFonts w:hint="eastAsia" w:ascii="Times New Roman" w:hAnsi="Times New Roman" w:eastAsia="仿宋_GB2312" w:cs="仿宋_GB2312"/>
          <w:color w:val="000000" w:themeColor="text1"/>
          <w:sz w:val="32"/>
          <w:szCs w:val="32"/>
          <w14:textFill>
            <w14:solidFill>
              <w14:schemeClr w14:val="tx1"/>
            </w14:solidFill>
          </w14:textFill>
        </w:rPr>
        <w:t>的</w:t>
      </w:r>
      <w:r>
        <w:rPr>
          <w:rFonts w:hint="eastAsia" w:ascii="Times New Roman" w:hAnsi="Times New Roman" w:eastAsia="仿宋_GB2312" w:cs="仿宋_GB2312"/>
          <w:color w:val="000000" w:themeColor="text1"/>
          <w:sz w:val="32"/>
          <w:szCs w:val="32"/>
          <w:lang w:eastAsia="zh-CN"/>
          <w14:textFill>
            <w14:solidFill>
              <w14:schemeClr w14:val="tx1"/>
            </w14:solidFill>
          </w14:textFill>
        </w:rPr>
        <w:t>直链淀粉快速检测</w:t>
      </w:r>
      <w:r>
        <w:rPr>
          <w:rFonts w:hint="eastAsia" w:ascii="Times New Roman" w:hAnsi="Times New Roman" w:eastAsia="仿宋_GB2312" w:cs="仿宋_GB2312"/>
          <w:color w:val="000000" w:themeColor="text1"/>
          <w:sz w:val="32"/>
          <w:szCs w:val="32"/>
          <w14:textFill>
            <w14:solidFill>
              <w14:schemeClr w14:val="tx1"/>
            </w14:solidFill>
          </w14:textFill>
        </w:rPr>
        <w:t>方面</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，国内外学者已开展大量研究，取得较好成效。</w:t>
      </w:r>
    </w:p>
    <w:p w14:paraId="3A3A99B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Sampaio等应用不同的水稻品种和特定的化学计量学工具，建立了水稻直链淀粉测定的最佳回归模型，验证了近红外技术用于高精度测定直链淀粉的可行性。杨学文等采集150份具有代表性的我国南方地区稻谷样品进行近红外光谱检测，建立了稻米直链淀粉含量的定量分析模型，结果表明近红外光谱分析法可以满足快速分析的要求。刘建学等用近红外光谱对不同粒度、不同类型的大米进行检测，建立了稻米直链淀粉的检测模型，结果表明对精米样品检测值与化学分析值的相关系数高达0.95。彭建等也得到了类似的结果。但是，由于缺乏相应的标准，在一定程度上限制了近红外光谱分析法的应用。</w:t>
      </w:r>
    </w:p>
    <w:p w14:paraId="167C22D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华南地区具有丰富的种质资源。本标准旨在通过分析不同建模条件对模型准确性的影响，构建基于近红外光谱技术的大米直链淀粉含量快速检测模型，不断完善大米标准体系，推动粮食分析技术的进步，提升粮食安全保障能力。</w:t>
      </w:r>
    </w:p>
    <w:p w14:paraId="77C28628">
      <w:pPr>
        <w:keepNext w:val="0"/>
        <w:keepLines w:val="0"/>
        <w:pageBreakBefore w:val="0"/>
        <w:widowControl w:val="0"/>
        <w:kinsoku/>
        <w:wordWrap/>
        <w:overflowPunct/>
        <w:topLinePunct w:val="0"/>
        <w:bidi w:val="0"/>
        <w:adjustRightInd/>
        <w:snapToGrid/>
        <w:spacing w:line="600" w:lineRule="exact"/>
        <w:ind w:firstLine="643" w:firstLineChars="200"/>
        <w:rPr>
          <w:rFonts w:ascii="Times New Roman" w:hAnsi="Times New Roman" w:eastAsia="黑体" w:cs="黑体"/>
          <w:b/>
          <w:bCs/>
          <w:color w:val="000000" w:themeColor="text1"/>
          <w:sz w:val="32"/>
          <w:szCs w:val="32"/>
          <w14:textFill>
            <w14:solidFill>
              <w14:schemeClr w14:val="tx1"/>
            </w14:solidFill>
          </w14:textFill>
        </w:rPr>
      </w:pPr>
      <w:r>
        <w:rPr>
          <w:rFonts w:hint="eastAsia" w:ascii="Times New Roman" w:hAnsi="Times New Roman" w:eastAsia="黑体" w:cs="黑体"/>
          <w:b/>
          <w:bCs/>
          <w:color w:val="000000" w:themeColor="text1"/>
          <w:sz w:val="32"/>
          <w:szCs w:val="32"/>
          <w14:textFill>
            <w14:solidFill>
              <w14:schemeClr w14:val="tx1"/>
            </w14:solidFill>
          </w14:textFill>
        </w:rPr>
        <w:t>三、编制过程</w:t>
      </w:r>
    </w:p>
    <w:p w14:paraId="1D61D13E">
      <w:pPr>
        <w:keepNext w:val="0"/>
        <w:keepLines w:val="0"/>
        <w:pageBreakBefore w:val="0"/>
        <w:widowControl w:val="0"/>
        <w:kinsoku/>
        <w:wordWrap/>
        <w:overflowPunct/>
        <w:topLinePunct w:val="0"/>
        <w:bidi w:val="0"/>
        <w:adjustRightInd/>
        <w:snapToGrid/>
        <w:spacing w:line="600" w:lineRule="exact"/>
        <w:ind w:firstLine="640" w:firstLineChars="200"/>
        <w:rPr>
          <w:rFonts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lang w:eastAsia="zh-CN"/>
          <w14:textFill>
            <w14:solidFill>
              <w14:schemeClr w14:val="tx1"/>
            </w14:solidFill>
          </w14:textFill>
        </w:rPr>
        <w:t>起草</w:t>
      </w:r>
      <w:r>
        <w:rPr>
          <w:rFonts w:hint="eastAsia" w:ascii="Times New Roman" w:hAnsi="Times New Roman" w:eastAsia="仿宋_GB2312" w:cs="仿宋_GB2312"/>
          <w:color w:val="000000" w:themeColor="text1"/>
          <w:sz w:val="32"/>
          <w:szCs w:val="32"/>
          <w14:textFill>
            <w14:solidFill>
              <w14:schemeClr w14:val="tx1"/>
            </w14:solidFill>
          </w14:textFill>
        </w:rPr>
        <w:t>单位在确定标准制定任务后，</w:t>
      </w:r>
      <w:r>
        <w:rPr>
          <w:rFonts w:hint="eastAsia" w:ascii="Times New Roman" w:hAnsi="Times New Roman" w:eastAsia="仿宋_GB2312" w:cs="仿宋_GB2312"/>
          <w:color w:val="000000" w:themeColor="text1"/>
          <w:sz w:val="32"/>
          <w:szCs w:val="32"/>
          <w:lang w:eastAsia="zh-CN"/>
          <w14:textFill>
            <w14:solidFill>
              <w14:schemeClr w14:val="tx1"/>
            </w14:solidFill>
          </w14:textFill>
        </w:rPr>
        <w:t>及时</w:t>
      </w:r>
      <w:r>
        <w:rPr>
          <w:rFonts w:hint="eastAsia" w:ascii="Times New Roman" w:hAnsi="Times New Roman" w:eastAsia="仿宋_GB2312" w:cs="仿宋_GB2312"/>
          <w:color w:val="000000" w:themeColor="text1"/>
          <w:sz w:val="32"/>
          <w:szCs w:val="32"/>
          <w14:textFill>
            <w14:solidFill>
              <w14:schemeClr w14:val="tx1"/>
            </w14:solidFill>
          </w14:textFill>
        </w:rPr>
        <w:t>成立了标准起草工作组，开展了调研和标准编制工作。主要工作过程如下：</w:t>
      </w:r>
    </w:p>
    <w:p w14:paraId="0E3B9DA2">
      <w:pPr>
        <w:pStyle w:val="2"/>
        <w:keepNext w:val="0"/>
        <w:keepLines w:val="0"/>
        <w:pageBreakBefore w:val="0"/>
        <w:widowControl w:val="0"/>
        <w:kinsoku/>
        <w:wordWrap/>
        <w:overflowPunct/>
        <w:topLinePunct w:val="0"/>
        <w:bidi w:val="0"/>
        <w:adjustRightInd/>
        <w:snapToGrid/>
        <w:spacing w:after="0" w:line="600" w:lineRule="exact"/>
        <w:ind w:firstLine="643" w:firstLineChars="200"/>
        <w:rPr>
          <w:rFonts w:ascii="Times New Roman" w:hAnsi="Times New Roman" w:eastAsia="楷体_GB2312" w:cs="楷体_GB2312"/>
          <w:b/>
          <w:bCs/>
          <w:color w:val="000000" w:themeColor="text1"/>
          <w:sz w:val="32"/>
          <w:szCs w:val="32"/>
          <w:lang w:val="en-US" w:eastAsia="zh-Hans"/>
          <w14:textFill>
            <w14:solidFill>
              <w14:schemeClr w14:val="tx1"/>
            </w14:solidFill>
          </w14:textFill>
        </w:rPr>
      </w:pPr>
      <w:r>
        <w:rPr>
          <w:rFonts w:hint="eastAsia" w:ascii="Times New Roman" w:hAnsi="Times New Roman" w:eastAsia="楷体_GB2312" w:cs="楷体_GB2312"/>
          <w:b/>
          <w:bCs/>
          <w:color w:val="000000" w:themeColor="text1"/>
          <w:sz w:val="32"/>
          <w:szCs w:val="32"/>
          <w:lang w:val="en-US" w:eastAsia="zh-CN"/>
          <w14:textFill>
            <w14:solidFill>
              <w14:schemeClr w14:val="tx1"/>
            </w14:solidFill>
          </w14:textFill>
        </w:rPr>
        <w:t>（一）</w:t>
      </w:r>
      <w:r>
        <w:rPr>
          <w:rFonts w:hint="eastAsia" w:ascii="Times New Roman" w:hAnsi="Times New Roman" w:eastAsia="楷体_GB2312" w:cs="楷体_GB2312"/>
          <w:b/>
          <w:bCs/>
          <w:color w:val="000000" w:themeColor="text1"/>
          <w:sz w:val="32"/>
          <w:szCs w:val="32"/>
          <w:lang w:val="en-US" w:eastAsia="zh-Hans"/>
          <w14:textFill>
            <w14:solidFill>
              <w14:schemeClr w14:val="tx1"/>
            </w14:solidFill>
          </w14:textFill>
        </w:rPr>
        <w:t>起草阶段</w:t>
      </w:r>
    </w:p>
    <w:p w14:paraId="0C853152">
      <w:pPr>
        <w:keepNext w:val="0"/>
        <w:keepLines w:val="0"/>
        <w:pageBreakBefore w:val="0"/>
        <w:widowControl w:val="0"/>
        <w:kinsoku/>
        <w:wordWrap/>
        <w:overflowPunct/>
        <w:topLinePunct w:val="0"/>
        <w:bidi w:val="0"/>
        <w:adjustRightInd/>
        <w:snapToGrid/>
        <w:spacing w:line="600" w:lineRule="exact"/>
        <w:ind w:firstLine="643" w:firstLineChars="200"/>
        <w:rPr>
          <w:rFonts w:ascii="Times New Roman" w:hAnsi="Times New Roman" w:eastAsia="仿宋_GB2312" w:cs="仿宋_GB2312"/>
          <w:color w:val="000000" w:themeColor="text1"/>
          <w:sz w:val="32"/>
          <w:szCs w:val="32"/>
          <w14:textFill>
            <w14:solidFill>
              <w14:schemeClr w14:val="tx1"/>
            </w14:solidFill>
          </w14:textFill>
        </w:rPr>
      </w:pPr>
      <w:r>
        <w:rPr>
          <w:rFonts w:ascii="Times New Roman" w:hAnsi="Times New Roman" w:eastAsia="仿宋_GB2312" w:cs="仿宋_GB2312"/>
          <w:b/>
          <w:bCs/>
          <w:color w:val="000000" w:themeColor="text1"/>
          <w:sz w:val="32"/>
          <w:szCs w:val="32"/>
          <w14:textFill>
            <w14:solidFill>
              <w14:schemeClr w14:val="tx1"/>
            </w14:solidFill>
          </w14:textFill>
        </w:rPr>
        <w:t>1.</w:t>
      </w:r>
      <w:r>
        <w:rPr>
          <w:rFonts w:hint="eastAsia" w:ascii="Times New Roman" w:hAnsi="Times New Roman" w:eastAsia="仿宋_GB2312" w:cs="仿宋_GB2312"/>
          <w:b/>
          <w:bCs/>
          <w:color w:val="000000" w:themeColor="text1"/>
          <w:sz w:val="32"/>
          <w:szCs w:val="32"/>
          <w14:textFill>
            <w14:solidFill>
              <w14:schemeClr w14:val="tx1"/>
            </w14:solidFill>
          </w14:textFill>
        </w:rPr>
        <w:t>标准立项。</w:t>
      </w:r>
      <w:r>
        <w:rPr>
          <w:rFonts w:ascii="Times New Roman" w:hAnsi="Times New Roman" w:eastAsia="楷体_GB2312"/>
          <w:color w:val="000000" w:themeColor="text1"/>
          <w:sz w:val="32"/>
          <w:szCs w:val="32"/>
          <w14:textFill>
            <w14:solidFill>
              <w14:schemeClr w14:val="tx1"/>
            </w14:solidFill>
          </w14:textFill>
        </w:rPr>
        <w:t>202</w:t>
      </w:r>
      <w:r>
        <w:rPr>
          <w:rFonts w:hint="eastAsia" w:ascii="Times New Roman" w:hAnsi="Times New Roman" w:eastAsia="楷体_GB2312"/>
          <w:color w:val="000000" w:themeColor="text1"/>
          <w:sz w:val="32"/>
          <w:szCs w:val="32"/>
          <w:lang w:val="en-US" w:eastAsia="zh-CN"/>
          <w14:textFill>
            <w14:solidFill>
              <w14:schemeClr w14:val="tx1"/>
            </w14:solidFill>
          </w14:textFill>
        </w:rPr>
        <w:t>4</w:t>
      </w:r>
      <w:r>
        <w:rPr>
          <w:rFonts w:hint="eastAsia" w:ascii="Times New Roman" w:hAnsi="Times New Roman" w:eastAsia="仿宋_GB2312" w:cs="仿宋_GB2312"/>
          <w:color w:val="000000" w:themeColor="text1"/>
          <w:sz w:val="32"/>
          <w:szCs w:val="32"/>
          <w14:textFill>
            <w14:solidFill>
              <w14:schemeClr w14:val="tx1"/>
            </w14:solidFill>
          </w14:textFill>
        </w:rPr>
        <w:t>年</w:t>
      </w:r>
      <w:r>
        <w:rPr>
          <w:rFonts w:hint="eastAsia" w:ascii="Times New Roman" w:hAnsi="Times New Roman" w:eastAsia="仿宋_GB2312"/>
          <w:color w:val="000000" w:themeColor="text1"/>
          <w:sz w:val="32"/>
          <w:szCs w:val="32"/>
          <w:lang w:val="en-US" w:eastAsia="zh-CN"/>
          <w14:textFill>
            <w14:solidFill>
              <w14:schemeClr w14:val="tx1"/>
            </w14:solidFill>
          </w14:textFill>
        </w:rPr>
        <w:t>11</w:t>
      </w:r>
      <w:r>
        <w:rPr>
          <w:rFonts w:hint="eastAsia" w:ascii="Times New Roman" w:hAnsi="Times New Roman" w:eastAsia="仿宋_GB2312" w:cs="仿宋_GB2312"/>
          <w:color w:val="000000" w:themeColor="text1"/>
          <w:sz w:val="32"/>
          <w:szCs w:val="32"/>
          <w14:textFill>
            <w14:solidFill>
              <w14:schemeClr w14:val="tx1"/>
            </w14:solidFill>
          </w14:textFill>
        </w:rPr>
        <w:t>月，按照《广东省食品行业协会团体标准管理办法（修订版）》要求和相关程序，经广东省食品工业标准化技术委员会秘书处立项审查、公示，确认符合立项条件，标准起草工作组初步成立，确定参加标准起草的工作组成员及专家，标准研制工作正式启动。</w:t>
      </w:r>
    </w:p>
    <w:p w14:paraId="2FB8B70F">
      <w:pPr>
        <w:keepNext w:val="0"/>
        <w:keepLines w:val="0"/>
        <w:pageBreakBefore w:val="0"/>
        <w:widowControl w:val="0"/>
        <w:kinsoku/>
        <w:wordWrap/>
        <w:overflowPunct/>
        <w:topLinePunct w:val="0"/>
        <w:bidi w:val="0"/>
        <w:adjustRightInd/>
        <w:snapToGrid/>
        <w:spacing w:line="600" w:lineRule="exact"/>
        <w:ind w:firstLine="643" w:firstLineChars="200"/>
        <w:jc w:val="left"/>
        <w:rPr>
          <w:rFonts w:hint="eastAsia" w:ascii="Times New Roman" w:hAnsi="Times New Roman" w:eastAsia="仿宋_GB2312" w:cs="仿宋_GB2312"/>
          <w:color w:val="000000" w:themeColor="text1"/>
          <w:sz w:val="32"/>
          <w:szCs w:val="32"/>
          <w:lang w:eastAsia="zh-CN"/>
          <w14:textFill>
            <w14:solidFill>
              <w14:schemeClr w14:val="tx1"/>
            </w14:solidFill>
          </w14:textFill>
        </w:rPr>
      </w:pPr>
      <w:r>
        <w:rPr>
          <w:rFonts w:ascii="Times New Roman" w:hAnsi="Times New Roman" w:eastAsia="仿宋_GB2312" w:cs="仿宋_GB2312"/>
          <w:b/>
          <w:bCs/>
          <w:color w:val="000000" w:themeColor="text1"/>
          <w:sz w:val="32"/>
          <w:szCs w:val="32"/>
          <w14:textFill>
            <w14:solidFill>
              <w14:schemeClr w14:val="tx1"/>
            </w14:solidFill>
          </w14:textFill>
        </w:rPr>
        <w:t>2.</w:t>
      </w:r>
      <w:r>
        <w:rPr>
          <w:rFonts w:hint="eastAsia" w:ascii="Times New Roman" w:hAnsi="Times New Roman" w:eastAsia="仿宋_GB2312" w:cs="仿宋_GB2312"/>
          <w:b/>
          <w:bCs/>
          <w:color w:val="000000" w:themeColor="text1"/>
          <w:sz w:val="32"/>
          <w:szCs w:val="32"/>
          <w14:textFill>
            <w14:solidFill>
              <w14:schemeClr w14:val="tx1"/>
            </w14:solidFill>
          </w14:textFill>
        </w:rPr>
        <w:t>资料收集。</w:t>
      </w:r>
      <w:r>
        <w:rPr>
          <w:rFonts w:ascii="Times New Roman" w:hAnsi="Times New Roman" w:eastAsia="仿宋_GB2312"/>
          <w:color w:val="000000" w:themeColor="text1"/>
          <w:sz w:val="32"/>
          <w:szCs w:val="32"/>
          <w14:textFill>
            <w14:solidFill>
              <w14:schemeClr w14:val="tx1"/>
            </w14:solidFill>
          </w14:textFill>
        </w:rPr>
        <w:t>202</w:t>
      </w:r>
      <w:r>
        <w:rPr>
          <w:rFonts w:hint="eastAsia" w:ascii="Times New Roman" w:hAnsi="Times New Roman" w:eastAsia="仿宋_GB2312"/>
          <w:color w:val="000000" w:themeColor="text1"/>
          <w:sz w:val="32"/>
          <w:szCs w:val="32"/>
          <w:lang w:val="en-US" w:eastAsia="zh-CN"/>
          <w14:textFill>
            <w14:solidFill>
              <w14:schemeClr w14:val="tx1"/>
            </w14:solidFill>
          </w14:textFill>
        </w:rPr>
        <w:t>4</w:t>
      </w:r>
      <w:r>
        <w:rPr>
          <w:rFonts w:hint="eastAsia" w:ascii="Times New Roman" w:hAnsi="Times New Roman" w:eastAsia="仿宋_GB2312" w:cs="仿宋_GB2312"/>
          <w:color w:val="000000" w:themeColor="text1"/>
          <w:sz w:val="32"/>
          <w:szCs w:val="32"/>
          <w14:textFill>
            <w14:solidFill>
              <w14:schemeClr w14:val="tx1"/>
            </w14:solidFill>
          </w14:textFill>
        </w:rPr>
        <w:t>年</w:t>
      </w:r>
      <w:r>
        <w:rPr>
          <w:rFonts w:hint="eastAsia" w:ascii="Times New Roman" w:hAnsi="Times New Roman" w:eastAsia="仿宋_GB2312"/>
          <w:color w:val="000000" w:themeColor="text1"/>
          <w:sz w:val="32"/>
          <w:szCs w:val="32"/>
          <w:lang w:val="en-US" w:eastAsia="zh-CN"/>
          <w14:textFill>
            <w14:solidFill>
              <w14:schemeClr w14:val="tx1"/>
            </w14:solidFill>
          </w14:textFill>
        </w:rPr>
        <w:t>11</w:t>
      </w:r>
      <w:r>
        <w:rPr>
          <w:rFonts w:hint="eastAsia" w:ascii="Times New Roman" w:hAnsi="Times New Roman" w:eastAsia="仿宋_GB2312" w:cs="仿宋_GB2312"/>
          <w:color w:val="000000" w:themeColor="text1"/>
          <w:sz w:val="32"/>
          <w:szCs w:val="32"/>
          <w14:textFill>
            <w14:solidFill>
              <w14:schemeClr w14:val="tx1"/>
            </w14:solidFill>
          </w14:textFill>
        </w:rPr>
        <w:t>月</w:t>
      </w:r>
      <w:r>
        <w:rPr>
          <w:rFonts w:ascii="Times New Roman" w:hAnsi="Times New Roman"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2025年</w:t>
      </w:r>
      <w:r>
        <w:rPr>
          <w:rFonts w:hint="eastAsia" w:ascii="Times New Roman" w:hAnsi="Times New Roman" w:eastAsia="仿宋_GB2312"/>
          <w:color w:val="000000" w:themeColor="text1"/>
          <w:sz w:val="32"/>
          <w:szCs w:val="32"/>
          <w:lang w:val="en-US" w:eastAsia="zh-CN"/>
          <w14:textFill>
            <w14:solidFill>
              <w14:schemeClr w14:val="tx1"/>
            </w14:solidFill>
          </w14:textFill>
        </w:rPr>
        <w:t>4</w:t>
      </w:r>
      <w:r>
        <w:rPr>
          <w:rFonts w:hint="eastAsia" w:ascii="Times New Roman" w:hAnsi="Times New Roman" w:eastAsia="仿宋_GB2312" w:cs="仿宋_GB2312"/>
          <w:color w:val="000000" w:themeColor="text1"/>
          <w:sz w:val="32"/>
          <w:szCs w:val="32"/>
          <w14:textFill>
            <w14:solidFill>
              <w14:schemeClr w14:val="tx1"/>
            </w14:solidFill>
          </w14:textFill>
        </w:rPr>
        <w:t>月，</w:t>
      </w:r>
      <w:r>
        <w:rPr>
          <w:rFonts w:hint="eastAsia" w:ascii="Times New Roman" w:hAnsi="Times New Roman" w:eastAsia="仿宋_GB2312" w:cs="仿宋_GB2312"/>
          <w:color w:val="000000" w:themeColor="text1"/>
          <w:sz w:val="32"/>
          <w:szCs w:val="32"/>
          <w:lang w:bidi="ar"/>
          <w14:textFill>
            <w14:solidFill>
              <w14:schemeClr w14:val="tx1"/>
            </w14:solidFill>
          </w14:textFill>
        </w:rPr>
        <w:t>标准起草工作组收集相关标准、法规等文献资料，对现</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行</w:t>
      </w:r>
      <w:r>
        <w:rPr>
          <w:rFonts w:hint="eastAsia" w:ascii="Times New Roman" w:hAnsi="Times New Roman" w:eastAsia="仿宋_GB2312" w:cs="仿宋_GB2312"/>
          <w:color w:val="000000" w:themeColor="text1"/>
          <w:sz w:val="32"/>
          <w:szCs w:val="32"/>
          <w:lang w:bidi="ar"/>
          <w14:textFill>
            <w14:solidFill>
              <w14:schemeClr w14:val="tx1"/>
            </w14:solidFill>
          </w14:textFill>
        </w:rPr>
        <w:t>相关标准中的术语、指标等技术内容进行了归纳和总结，为标准文本的编制奠定理论基础</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；设计实验方案，收集有代表性的样品，建立样品库，测定标准化学值，推进定标模型的建立和验证等工作。</w:t>
      </w:r>
    </w:p>
    <w:p w14:paraId="09BC21DB">
      <w:pPr>
        <w:keepNext w:val="0"/>
        <w:keepLines w:val="0"/>
        <w:pageBreakBefore w:val="0"/>
        <w:widowControl w:val="0"/>
        <w:kinsoku/>
        <w:wordWrap/>
        <w:overflowPunct/>
        <w:topLinePunct w:val="0"/>
        <w:bidi w:val="0"/>
        <w:adjustRightInd/>
        <w:snapToGrid/>
        <w:spacing w:line="600" w:lineRule="exact"/>
        <w:ind w:firstLine="643" w:firstLineChars="200"/>
        <w:rPr>
          <w:rFonts w:ascii="Times New Roman" w:hAnsi="Times New Roman" w:eastAsia="仿宋_GB2312" w:cs="仿宋_GB2312"/>
          <w:color w:val="000000" w:themeColor="text1"/>
          <w:sz w:val="32"/>
          <w:szCs w:val="32"/>
          <w14:textFill>
            <w14:solidFill>
              <w14:schemeClr w14:val="tx1"/>
            </w14:solidFill>
          </w14:textFill>
        </w:rPr>
      </w:pPr>
      <w:r>
        <w:rPr>
          <w:rFonts w:ascii="Times New Roman" w:hAnsi="Times New Roman" w:eastAsia="仿宋_GB2312" w:cs="仿宋_GB2312"/>
          <w:b/>
          <w:bCs/>
          <w:color w:val="000000" w:themeColor="text1"/>
          <w:sz w:val="32"/>
          <w:szCs w:val="32"/>
          <w14:textFill>
            <w14:solidFill>
              <w14:schemeClr w14:val="tx1"/>
            </w14:solidFill>
          </w14:textFill>
        </w:rPr>
        <w:t>3.</w:t>
      </w:r>
      <w:r>
        <w:rPr>
          <w:rFonts w:hint="eastAsia" w:ascii="Times New Roman" w:hAnsi="Times New Roman" w:eastAsia="仿宋_GB2312" w:cs="仿宋_GB2312"/>
          <w:b/>
          <w:bCs/>
          <w:color w:val="000000" w:themeColor="text1"/>
          <w:sz w:val="32"/>
          <w:szCs w:val="32"/>
          <w14:textFill>
            <w14:solidFill>
              <w14:schemeClr w14:val="tx1"/>
            </w14:solidFill>
          </w14:textFill>
        </w:rPr>
        <w:t>标准起草。</w:t>
      </w:r>
      <w:r>
        <w:rPr>
          <w:rFonts w:ascii="Times New Roman" w:hAnsi="Times New Roman" w:eastAsia="仿宋_GB2312"/>
          <w:color w:val="000000" w:themeColor="text1"/>
          <w:sz w:val="32"/>
          <w:szCs w:val="32"/>
          <w14:textFill>
            <w14:solidFill>
              <w14:schemeClr w14:val="tx1"/>
            </w14:solidFill>
          </w14:textFill>
        </w:rPr>
        <w:t>202</w:t>
      </w:r>
      <w:r>
        <w:rPr>
          <w:rFonts w:hint="eastAsia" w:ascii="Times New Roman" w:hAnsi="Times New Roman" w:eastAsia="仿宋_GB2312"/>
          <w:color w:val="000000" w:themeColor="text1"/>
          <w:sz w:val="32"/>
          <w:szCs w:val="32"/>
          <w:lang w:val="en-US" w:eastAsia="zh-CN"/>
          <w14:textFill>
            <w14:solidFill>
              <w14:schemeClr w14:val="tx1"/>
            </w14:solidFill>
          </w14:textFill>
        </w:rPr>
        <w:t>5</w:t>
      </w:r>
      <w:r>
        <w:rPr>
          <w:rFonts w:hint="eastAsia" w:ascii="Times New Roman" w:hAnsi="Times New Roman" w:eastAsia="仿宋_GB2312" w:cs="仿宋_GB2312"/>
          <w:color w:val="000000" w:themeColor="text1"/>
          <w:sz w:val="32"/>
          <w:szCs w:val="32"/>
          <w14:textFill>
            <w14:solidFill>
              <w14:schemeClr w14:val="tx1"/>
            </w14:solidFill>
          </w14:textFill>
        </w:rPr>
        <w:t>年</w:t>
      </w:r>
      <w:r>
        <w:rPr>
          <w:rFonts w:hint="eastAsia" w:ascii="Times New Roman" w:hAnsi="Times New Roman" w:eastAsia="仿宋_GB2312"/>
          <w:color w:val="000000" w:themeColor="text1"/>
          <w:sz w:val="32"/>
          <w:szCs w:val="32"/>
          <w:lang w:val="en-US" w:eastAsia="zh-CN"/>
          <w14:textFill>
            <w14:solidFill>
              <w14:schemeClr w14:val="tx1"/>
            </w14:solidFill>
          </w14:textFill>
        </w:rPr>
        <w:t>4</w:t>
      </w:r>
      <w:r>
        <w:rPr>
          <w:rFonts w:hint="eastAsia" w:ascii="Times New Roman" w:hAnsi="Times New Roman" w:eastAsia="仿宋_GB2312" w:cs="仿宋_GB2312"/>
          <w:color w:val="000000" w:themeColor="text1"/>
          <w:sz w:val="32"/>
          <w:szCs w:val="32"/>
          <w14:textFill>
            <w14:solidFill>
              <w14:schemeClr w14:val="tx1"/>
            </w14:solidFill>
          </w14:textFill>
        </w:rPr>
        <w:t>月，</w:t>
      </w:r>
      <w:r>
        <w:rPr>
          <w:rFonts w:hint="eastAsia" w:ascii="Times New Roman" w:hAnsi="Times New Roman" w:eastAsia="仿宋_GB2312" w:cs="仿宋_GB2312"/>
          <w:color w:val="000000" w:themeColor="text1"/>
          <w:sz w:val="32"/>
          <w:szCs w:val="32"/>
          <w:lang w:eastAsia="zh-Hans"/>
          <w14:textFill>
            <w14:solidFill>
              <w14:schemeClr w14:val="tx1"/>
            </w14:solidFill>
          </w14:textFill>
        </w:rPr>
        <w:t>广东省食品行业协会召开了</w:t>
      </w:r>
      <w:r>
        <w:rPr>
          <w:rFonts w:hint="eastAsia" w:ascii="Times New Roman" w:hAnsi="Times New Roman" w:eastAsia="仿宋_GB2312" w:cs="仿宋_GB2312"/>
          <w:color w:val="000000" w:themeColor="text1"/>
          <w:sz w:val="32"/>
          <w:szCs w:val="32"/>
          <w14:textFill>
            <w14:solidFill>
              <w14:schemeClr w14:val="tx1"/>
            </w14:solidFill>
          </w14:textFill>
        </w:rPr>
        <w:t>标准</w:t>
      </w:r>
      <w:r>
        <w:rPr>
          <w:rFonts w:hint="eastAsia" w:ascii="Times New Roman" w:hAnsi="Times New Roman" w:eastAsia="仿宋_GB2312" w:cs="仿宋_GB2312"/>
          <w:color w:val="000000" w:themeColor="text1"/>
          <w:sz w:val="32"/>
          <w:szCs w:val="32"/>
          <w:lang w:eastAsia="zh-Hans"/>
          <w14:textFill>
            <w14:solidFill>
              <w14:schemeClr w14:val="tx1"/>
            </w14:solidFill>
          </w14:textFill>
        </w:rPr>
        <w:t>制定工作</w:t>
      </w:r>
      <w:r>
        <w:rPr>
          <w:rFonts w:hint="eastAsia" w:ascii="Times New Roman" w:hAnsi="Times New Roman" w:eastAsia="仿宋_GB2312" w:cs="仿宋_GB2312"/>
          <w:color w:val="000000" w:themeColor="text1"/>
          <w:sz w:val="32"/>
          <w:szCs w:val="32"/>
          <w14:textFill>
            <w14:solidFill>
              <w14:schemeClr w14:val="tx1"/>
            </w14:solidFill>
          </w14:textFill>
        </w:rPr>
        <w:t>启动</w:t>
      </w:r>
      <w:r>
        <w:rPr>
          <w:rFonts w:hint="eastAsia" w:ascii="Times New Roman" w:hAnsi="Times New Roman" w:eastAsia="仿宋_GB2312" w:cs="仿宋_GB2312"/>
          <w:color w:val="000000" w:themeColor="text1"/>
          <w:sz w:val="32"/>
          <w:szCs w:val="32"/>
          <w:lang w:eastAsia="zh-Hans"/>
          <w14:textFill>
            <w14:solidFill>
              <w14:schemeClr w14:val="tx1"/>
            </w14:solidFill>
          </w14:textFill>
        </w:rPr>
        <w:t>会，</w:t>
      </w:r>
      <w:r>
        <w:rPr>
          <w:rFonts w:hint="eastAsia" w:ascii="Times New Roman" w:hAnsi="Times New Roman" w:eastAsia="仿宋_GB2312" w:cs="仿宋_GB2312"/>
          <w:color w:val="000000" w:themeColor="text1"/>
          <w:sz w:val="32"/>
          <w:szCs w:val="32"/>
          <w14:textFill>
            <w14:solidFill>
              <w14:schemeClr w14:val="tx1"/>
            </w14:solidFill>
          </w14:textFill>
        </w:rPr>
        <w:t>确定标准</w:t>
      </w:r>
      <w:r>
        <w:rPr>
          <w:rFonts w:hint="eastAsia" w:ascii="Times New Roman" w:hAnsi="Times New Roman" w:eastAsia="仿宋_GB2312" w:cs="仿宋_GB2312"/>
          <w:color w:val="000000" w:themeColor="text1"/>
          <w:sz w:val="32"/>
          <w:szCs w:val="32"/>
          <w:lang w:eastAsia="zh-CN"/>
          <w14:textFill>
            <w14:solidFill>
              <w14:schemeClr w14:val="tx1"/>
            </w14:solidFill>
          </w14:textFill>
        </w:rPr>
        <w:t>的主要内容、分工、时间安排等</w:t>
      </w:r>
      <w:r>
        <w:rPr>
          <w:rFonts w:hint="eastAsia" w:ascii="Times New Roman" w:hAnsi="Times New Roman" w:eastAsia="仿宋_GB2312" w:cs="仿宋_GB2312"/>
          <w:color w:val="000000" w:themeColor="text1"/>
          <w:sz w:val="32"/>
          <w:szCs w:val="32"/>
          <w14:textFill>
            <w14:solidFill>
              <w14:schemeClr w14:val="tx1"/>
            </w14:solidFill>
          </w14:textFill>
        </w:rPr>
        <w:t>。会后，经起草组充分讨论交流，形成标准草稿。</w:t>
      </w:r>
    </w:p>
    <w:p w14:paraId="15667D45">
      <w:pPr>
        <w:keepNext w:val="0"/>
        <w:keepLines w:val="0"/>
        <w:pageBreakBefore w:val="0"/>
        <w:widowControl w:val="0"/>
        <w:kinsoku/>
        <w:wordWrap/>
        <w:overflowPunct/>
        <w:topLinePunct w:val="0"/>
        <w:bidi w:val="0"/>
        <w:adjustRightInd/>
        <w:snapToGrid/>
        <w:spacing w:line="600" w:lineRule="exact"/>
        <w:ind w:firstLine="643" w:firstLineChars="200"/>
        <w:jc w:val="left"/>
        <w:rPr>
          <w:rFonts w:ascii="Times New Roman" w:hAnsi="Times New Roman" w:eastAsia="仿宋_GB2312" w:cs="仿宋_GB2312"/>
          <w:color w:val="000000" w:themeColor="text1"/>
          <w:sz w:val="32"/>
          <w:szCs w:val="32"/>
          <w14:textFill>
            <w14:solidFill>
              <w14:schemeClr w14:val="tx1"/>
            </w14:solidFill>
          </w14:textFill>
        </w:rPr>
      </w:pPr>
      <w:r>
        <w:rPr>
          <w:rFonts w:ascii="Times New Roman" w:hAnsi="Times New Roman" w:eastAsia="仿宋_GB2312" w:cs="仿宋_GB2312"/>
          <w:b/>
          <w:bCs/>
          <w:color w:val="000000" w:themeColor="text1"/>
          <w:sz w:val="32"/>
          <w:szCs w:val="32"/>
          <w:lang w:bidi="ar"/>
          <w14:textFill>
            <w14:solidFill>
              <w14:schemeClr w14:val="tx1"/>
            </w14:solidFill>
          </w14:textFill>
        </w:rPr>
        <w:t>4.方法验证</w:t>
      </w:r>
      <w:r>
        <w:rPr>
          <w:rFonts w:hint="eastAsia" w:ascii="Times New Roman" w:hAnsi="Times New Roman" w:eastAsia="仿宋_GB2312" w:cs="仿宋_GB2312"/>
          <w:b/>
          <w:bCs/>
          <w:color w:val="000000" w:themeColor="text1"/>
          <w:sz w:val="32"/>
          <w:szCs w:val="32"/>
          <w:lang w:bidi="ar"/>
          <w14:textFill>
            <w14:solidFill>
              <w14:schemeClr w14:val="tx1"/>
            </w14:solidFill>
          </w14:textFill>
        </w:rPr>
        <w:t>。</w:t>
      </w:r>
      <w:r>
        <w:rPr>
          <w:rFonts w:ascii="Times New Roman" w:hAnsi="Times New Roman" w:eastAsia="仿宋_GB2312"/>
          <w:color w:val="000000" w:themeColor="text1"/>
          <w:sz w:val="32"/>
          <w:szCs w:val="32"/>
          <w:lang w:bidi="ar"/>
          <w14:textFill>
            <w14:solidFill>
              <w14:schemeClr w14:val="tx1"/>
            </w14:solidFill>
          </w14:textFill>
        </w:rPr>
        <w:t>202</w:t>
      </w:r>
      <w:r>
        <w:rPr>
          <w:rFonts w:hint="eastAsia" w:ascii="Times New Roman" w:hAnsi="Times New Roman" w:eastAsia="仿宋_GB2312"/>
          <w:color w:val="000000" w:themeColor="text1"/>
          <w:sz w:val="32"/>
          <w:szCs w:val="32"/>
          <w:lang w:val="en-US" w:eastAsia="zh-CN" w:bidi="ar"/>
          <w14:textFill>
            <w14:solidFill>
              <w14:schemeClr w14:val="tx1"/>
            </w14:solidFill>
          </w14:textFill>
        </w:rPr>
        <w:t>5</w:t>
      </w:r>
      <w:r>
        <w:rPr>
          <w:rFonts w:hint="eastAsia" w:ascii="Times New Roman" w:hAnsi="Times New Roman" w:eastAsia="仿宋_GB2312" w:cs="仿宋_GB2312"/>
          <w:color w:val="000000" w:themeColor="text1"/>
          <w:sz w:val="32"/>
          <w:szCs w:val="32"/>
          <w:lang w:bidi="ar"/>
          <w14:textFill>
            <w14:solidFill>
              <w14:schemeClr w14:val="tx1"/>
            </w14:solidFill>
          </w14:textFill>
        </w:rPr>
        <w:t>年</w:t>
      </w:r>
      <w:r>
        <w:rPr>
          <w:rFonts w:hint="eastAsia" w:ascii="Times New Roman" w:hAnsi="Times New Roman" w:eastAsia="仿宋_GB2312"/>
          <w:color w:val="000000" w:themeColor="text1"/>
          <w:sz w:val="32"/>
          <w:szCs w:val="32"/>
          <w:lang w:val="en-US" w:eastAsia="zh-CN" w:bidi="ar"/>
          <w14:textFill>
            <w14:solidFill>
              <w14:schemeClr w14:val="tx1"/>
            </w14:solidFill>
          </w14:textFill>
        </w:rPr>
        <w:t>4</w:t>
      </w:r>
      <w:r>
        <w:rPr>
          <w:rFonts w:ascii="Times New Roman" w:hAnsi="Times New Roman" w:eastAsia="仿宋_GB2312" w:cs="仿宋_GB2312"/>
          <w:color w:val="000000" w:themeColor="text1"/>
          <w:sz w:val="32"/>
          <w:szCs w:val="32"/>
          <w:lang w:bidi="ar"/>
          <w14:textFill>
            <w14:solidFill>
              <w14:schemeClr w14:val="tx1"/>
            </w14:solidFill>
          </w14:textFill>
        </w:rPr>
        <w:t>-</w:t>
      </w:r>
      <w:r>
        <w:rPr>
          <w:rFonts w:hint="eastAsia" w:ascii="Times New Roman" w:hAnsi="Times New Roman" w:eastAsia="仿宋_GB2312"/>
          <w:color w:val="000000" w:themeColor="text1"/>
          <w:sz w:val="32"/>
          <w:szCs w:val="32"/>
          <w:lang w:val="en-US" w:eastAsia="zh-CN" w:bidi="ar"/>
          <w14:textFill>
            <w14:solidFill>
              <w14:schemeClr w14:val="tx1"/>
            </w14:solidFill>
          </w14:textFill>
        </w:rPr>
        <w:t>9</w:t>
      </w:r>
      <w:r>
        <w:rPr>
          <w:rFonts w:hint="eastAsia" w:ascii="Times New Roman" w:hAnsi="Times New Roman" w:eastAsia="仿宋_GB2312" w:cs="仿宋_GB2312"/>
          <w:color w:val="000000" w:themeColor="text1"/>
          <w:sz w:val="32"/>
          <w:szCs w:val="32"/>
          <w:lang w:bidi="ar"/>
          <w14:textFill>
            <w14:solidFill>
              <w14:schemeClr w14:val="tx1"/>
            </w14:solidFill>
          </w14:textFill>
        </w:rPr>
        <w:t>月，为充分体现标准制定工作的科学性，起草组</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继续</w:t>
      </w:r>
      <w:r>
        <w:rPr>
          <w:rFonts w:hint="eastAsia" w:ascii="Times New Roman" w:hAnsi="Times New Roman" w:eastAsia="仿宋_GB2312" w:cs="仿宋_GB2312"/>
          <w:color w:val="000000" w:themeColor="text1"/>
          <w:sz w:val="32"/>
          <w:szCs w:val="32"/>
          <w:lang w:eastAsia="zh-CN"/>
          <w14:textFill>
            <w14:solidFill>
              <w14:schemeClr w14:val="tx1"/>
            </w14:solidFill>
          </w14:textFill>
        </w:rPr>
        <w:t>收集有代表性的样品</w:t>
      </w:r>
      <w:r>
        <w:rPr>
          <w:rFonts w:hint="eastAsia" w:ascii="Times New Roman" w:hAnsi="Times New Roman"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lang w:eastAsia="zh-CN"/>
          <w14:textFill>
            <w14:solidFill>
              <w14:schemeClr w14:val="tx1"/>
            </w14:solidFill>
          </w14:textFill>
        </w:rPr>
        <w:t>进一步完善定标模型，并</w:t>
      </w:r>
      <w:r>
        <w:rPr>
          <w:rFonts w:hint="eastAsia" w:ascii="Times New Roman" w:hAnsi="Times New Roman" w:eastAsia="仿宋_GB2312" w:cs="仿宋_GB2312"/>
          <w:color w:val="000000" w:themeColor="text1"/>
          <w:sz w:val="32"/>
          <w:szCs w:val="32"/>
          <w14:textFill>
            <w14:solidFill>
              <w14:schemeClr w14:val="tx1"/>
            </w14:solidFill>
          </w14:textFill>
        </w:rPr>
        <w:t>在</w:t>
      </w:r>
      <w:r>
        <w:rPr>
          <w:rFonts w:ascii="Times New Roman" w:hAnsi="Times New Roman" w:eastAsia="仿宋_GB2312"/>
          <w:color w:val="000000" w:themeColor="text1"/>
          <w:sz w:val="32"/>
          <w:szCs w:val="32"/>
          <w14:textFill>
            <w14:solidFill>
              <w14:schemeClr w14:val="tx1"/>
            </w14:solidFill>
          </w14:textFill>
        </w:rPr>
        <w:t>4</w:t>
      </w:r>
      <w:r>
        <w:rPr>
          <w:rFonts w:hint="eastAsia" w:ascii="Times New Roman" w:hAnsi="Times New Roman" w:eastAsia="仿宋_GB2312" w:cs="仿宋_GB2312"/>
          <w:color w:val="000000" w:themeColor="text1"/>
          <w:sz w:val="32"/>
          <w:szCs w:val="32"/>
          <w14:textFill>
            <w14:solidFill>
              <w14:schemeClr w14:val="tx1"/>
            </w14:solidFill>
          </w14:textFill>
        </w:rPr>
        <w:t>家</w:t>
      </w:r>
      <w:r>
        <w:rPr>
          <w:rFonts w:hint="eastAsia" w:ascii="Times New Roman" w:hAnsi="Times New Roman" w:eastAsia="仿宋_GB2312" w:cs="仿宋_GB2312"/>
          <w:color w:val="000000" w:themeColor="text1"/>
          <w:sz w:val="32"/>
          <w:szCs w:val="32"/>
          <w:lang w:eastAsia="zh-CN"/>
          <w14:textFill>
            <w14:solidFill>
              <w14:schemeClr w14:val="tx1"/>
            </w14:solidFill>
          </w14:textFill>
        </w:rPr>
        <w:t>实验室</w:t>
      </w:r>
      <w:r>
        <w:rPr>
          <w:rFonts w:hint="eastAsia" w:ascii="Times New Roman" w:hAnsi="Times New Roman" w:eastAsia="仿宋_GB2312" w:cs="仿宋_GB2312"/>
          <w:color w:val="000000" w:themeColor="text1"/>
          <w:sz w:val="32"/>
          <w:szCs w:val="32"/>
          <w14:textFill>
            <w14:solidFill>
              <w14:schemeClr w14:val="tx1"/>
            </w14:solidFill>
          </w14:textFill>
        </w:rPr>
        <w:t>开展</w:t>
      </w:r>
      <w:r>
        <w:rPr>
          <w:rFonts w:hint="eastAsia" w:ascii="Times New Roman" w:hAnsi="Times New Roman" w:eastAsia="仿宋_GB2312" w:cs="仿宋_GB2312"/>
          <w:color w:val="000000" w:themeColor="text1"/>
          <w:sz w:val="32"/>
          <w:szCs w:val="32"/>
          <w:lang w:eastAsia="zh-CN"/>
          <w14:textFill>
            <w14:solidFill>
              <w14:schemeClr w14:val="tx1"/>
            </w14:solidFill>
          </w14:textFill>
        </w:rPr>
        <w:t>盲样</w:t>
      </w:r>
      <w:r>
        <w:rPr>
          <w:rFonts w:hint="eastAsia" w:ascii="Times New Roman" w:hAnsi="Times New Roman" w:eastAsia="仿宋_GB2312" w:cs="仿宋_GB2312"/>
          <w:color w:val="000000" w:themeColor="text1"/>
          <w:sz w:val="32"/>
          <w:szCs w:val="32"/>
          <w14:textFill>
            <w14:solidFill>
              <w14:schemeClr w14:val="tx1"/>
            </w14:solidFill>
          </w14:textFill>
        </w:rPr>
        <w:t>验证，进一步优化标准草稿中试样制备、</w:t>
      </w:r>
      <w:r>
        <w:rPr>
          <w:rFonts w:hint="eastAsia" w:ascii="Times New Roman" w:hAnsi="Times New Roman" w:eastAsia="仿宋_GB2312" w:cs="仿宋_GB2312"/>
          <w:color w:val="000000" w:themeColor="text1"/>
          <w:sz w:val="32"/>
          <w:szCs w:val="32"/>
          <w:lang w:eastAsia="zh-CN"/>
          <w14:textFill>
            <w14:solidFill>
              <w14:schemeClr w14:val="tx1"/>
            </w14:solidFill>
          </w14:textFill>
        </w:rPr>
        <w:t>定标模型</w:t>
      </w:r>
      <w:r>
        <w:rPr>
          <w:rFonts w:hint="eastAsia" w:ascii="Times New Roman" w:hAnsi="Times New Roman" w:eastAsia="仿宋_GB2312" w:cs="仿宋_GB2312"/>
          <w:color w:val="000000" w:themeColor="text1"/>
          <w:sz w:val="32"/>
          <w:szCs w:val="32"/>
          <w14:textFill>
            <w14:solidFill>
              <w14:schemeClr w14:val="tx1"/>
            </w14:solidFill>
          </w14:textFill>
        </w:rPr>
        <w:t>建立、样品检测与结果、准确性等内容。</w:t>
      </w:r>
    </w:p>
    <w:p w14:paraId="724F5EED">
      <w:pPr>
        <w:keepNext w:val="0"/>
        <w:keepLines w:val="0"/>
        <w:pageBreakBefore w:val="0"/>
        <w:widowControl w:val="0"/>
        <w:kinsoku/>
        <w:wordWrap/>
        <w:overflowPunct/>
        <w:topLinePunct w:val="0"/>
        <w:bidi w:val="0"/>
        <w:adjustRightInd/>
        <w:snapToGrid/>
        <w:spacing w:line="600" w:lineRule="exact"/>
        <w:ind w:firstLine="643" w:firstLineChars="200"/>
        <w:rPr>
          <w:rFonts w:ascii="Times New Roman" w:hAnsi="Times New Roman" w:eastAsia="楷体_GB2312" w:cs="楷体_GB2312"/>
          <w:b/>
          <w:bCs/>
          <w:color w:val="000000" w:themeColor="text1"/>
          <w:sz w:val="32"/>
          <w:szCs w:val="32"/>
          <w:lang w:eastAsia="zh-Hans"/>
          <w14:textFill>
            <w14:solidFill>
              <w14:schemeClr w14:val="tx1"/>
            </w14:solidFill>
          </w14:textFill>
        </w:rPr>
      </w:pPr>
      <w:r>
        <w:rPr>
          <w:rFonts w:hint="eastAsia" w:ascii="Times New Roman" w:hAnsi="Times New Roman" w:eastAsia="楷体_GB2312" w:cs="楷体_GB2312"/>
          <w:b/>
          <w:bCs/>
          <w:color w:val="000000" w:themeColor="text1"/>
          <w:sz w:val="32"/>
          <w:szCs w:val="32"/>
          <w14:textFill>
            <w14:solidFill>
              <w14:schemeClr w14:val="tx1"/>
            </w14:solidFill>
          </w14:textFill>
        </w:rPr>
        <w:t>（二）</w:t>
      </w:r>
      <w:r>
        <w:rPr>
          <w:rFonts w:hint="eastAsia" w:ascii="Times New Roman" w:hAnsi="Times New Roman" w:eastAsia="楷体_GB2312" w:cs="楷体_GB2312"/>
          <w:b/>
          <w:bCs/>
          <w:color w:val="000000" w:themeColor="text1"/>
          <w:sz w:val="32"/>
          <w:szCs w:val="32"/>
          <w:lang w:eastAsia="zh-Hans"/>
          <w14:textFill>
            <w14:solidFill>
              <w14:schemeClr w14:val="tx1"/>
            </w14:solidFill>
          </w14:textFill>
        </w:rPr>
        <w:t>征求意见阶段</w:t>
      </w:r>
    </w:p>
    <w:p w14:paraId="3E478490">
      <w:pPr>
        <w:keepNext w:val="0"/>
        <w:keepLines w:val="0"/>
        <w:pageBreakBefore w:val="0"/>
        <w:widowControl w:val="0"/>
        <w:kinsoku/>
        <w:wordWrap/>
        <w:overflowPunct/>
        <w:topLinePunct w:val="0"/>
        <w:bidi w:val="0"/>
        <w:adjustRightInd/>
        <w:snapToGrid/>
        <w:spacing w:line="600" w:lineRule="exact"/>
        <w:ind w:firstLine="640" w:firstLineChars="200"/>
        <w:rPr>
          <w:rFonts w:ascii="Times New Roman" w:hAnsi="Times New Roman" w:eastAsia="仿宋_GB2312" w:cs="仿宋_GB2312"/>
          <w:color w:val="000000" w:themeColor="text1"/>
          <w:sz w:val="32"/>
          <w:szCs w:val="32"/>
          <w:lang w:eastAsia="zh-Hans" w:bidi="ar"/>
          <w14:textFill>
            <w14:solidFill>
              <w14:schemeClr w14:val="tx1"/>
            </w14:solidFill>
          </w14:textFill>
        </w:rPr>
      </w:pPr>
      <w:r>
        <w:rPr>
          <w:rFonts w:ascii="Times New Roman" w:hAnsi="Times New Roman" w:eastAsia="仿宋_GB2312"/>
          <w:color w:val="000000" w:themeColor="text1"/>
          <w:sz w:val="32"/>
          <w:szCs w:val="32"/>
          <w:lang w:bidi="ar"/>
          <w14:textFill>
            <w14:solidFill>
              <w14:schemeClr w14:val="tx1"/>
            </w14:solidFill>
          </w14:textFill>
        </w:rPr>
        <w:t>202</w:t>
      </w:r>
      <w:r>
        <w:rPr>
          <w:rFonts w:hint="eastAsia" w:ascii="Times New Roman" w:hAnsi="Times New Roman" w:eastAsia="仿宋_GB2312"/>
          <w:color w:val="000000" w:themeColor="text1"/>
          <w:sz w:val="32"/>
          <w:szCs w:val="32"/>
          <w:lang w:val="en-US" w:eastAsia="zh-CN" w:bidi="ar"/>
          <w14:textFill>
            <w14:solidFill>
              <w14:schemeClr w14:val="tx1"/>
            </w14:solidFill>
          </w14:textFill>
        </w:rPr>
        <w:t>5</w:t>
      </w:r>
      <w:r>
        <w:rPr>
          <w:rFonts w:ascii="Times New Roman" w:hAnsi="Times New Roman" w:eastAsia="仿宋_GB2312"/>
          <w:color w:val="000000" w:themeColor="text1"/>
          <w:sz w:val="32"/>
          <w:szCs w:val="32"/>
          <w:lang w:bidi="ar"/>
          <w14:textFill>
            <w14:solidFill>
              <w14:schemeClr w14:val="tx1"/>
            </w14:solidFill>
          </w14:textFill>
        </w:rPr>
        <w:t>年</w:t>
      </w:r>
      <w:r>
        <w:rPr>
          <w:rFonts w:hint="eastAsia" w:ascii="Times New Roman" w:hAnsi="Times New Roman" w:eastAsia="仿宋_GB2312"/>
          <w:color w:val="000000" w:themeColor="text1"/>
          <w:sz w:val="32"/>
          <w:szCs w:val="32"/>
          <w:lang w:val="en-US" w:eastAsia="zh-CN" w:bidi="ar"/>
          <w14:textFill>
            <w14:solidFill>
              <w14:schemeClr w14:val="tx1"/>
            </w14:solidFill>
          </w14:textFill>
        </w:rPr>
        <w:t>9</w:t>
      </w:r>
      <w:r>
        <w:rPr>
          <w:rFonts w:ascii="Times New Roman" w:hAnsi="Times New Roman" w:eastAsia="仿宋_GB2312"/>
          <w:color w:val="000000" w:themeColor="text1"/>
          <w:sz w:val="32"/>
          <w:szCs w:val="32"/>
          <w:lang w:bidi="ar"/>
          <w14:textFill>
            <w14:solidFill>
              <w14:schemeClr w14:val="tx1"/>
            </w14:solidFill>
          </w14:textFill>
        </w:rPr>
        <w:t>月</w:t>
      </w:r>
      <w:r>
        <w:rPr>
          <w:rFonts w:hint="eastAsia" w:ascii="Times New Roman" w:hAnsi="Times New Roman" w:eastAsia="仿宋_GB2312" w:cs="仿宋_GB2312"/>
          <w:color w:val="000000" w:themeColor="text1"/>
          <w:sz w:val="32"/>
          <w:szCs w:val="32"/>
          <w:lang w:bidi="ar"/>
          <w14:textFill>
            <w14:solidFill>
              <w14:schemeClr w14:val="tx1"/>
            </w14:solidFill>
          </w14:textFill>
        </w:rPr>
        <w:t>，起草工作组就前期研究情况和标准编制进行交流，重点针对主要技术内容和指标设置进行充分讨论，基本达成一致意见</w:t>
      </w:r>
      <w:r>
        <w:rPr>
          <w:rFonts w:hint="eastAsia" w:ascii="Times New Roman" w:hAnsi="Times New Roman" w:eastAsia="仿宋_GB2312" w:cs="仿宋_GB2312"/>
          <w:color w:val="000000" w:themeColor="text1"/>
          <w:sz w:val="32"/>
          <w:szCs w:val="32"/>
          <w:lang w:eastAsia="zh-Hans" w:bidi="ar"/>
          <w14:textFill>
            <w14:solidFill>
              <w14:schemeClr w14:val="tx1"/>
            </w14:solidFill>
          </w14:textFill>
        </w:rPr>
        <w:t>，</w:t>
      </w:r>
      <w:r>
        <w:rPr>
          <w:rFonts w:hint="eastAsia" w:ascii="Times New Roman" w:hAnsi="Times New Roman" w:eastAsia="仿宋_GB2312" w:cs="仿宋_GB2312"/>
          <w:color w:val="000000" w:themeColor="text1"/>
          <w:sz w:val="32"/>
          <w:szCs w:val="32"/>
          <w:lang w:bidi="ar"/>
          <w14:textFill>
            <w14:solidFill>
              <w14:schemeClr w14:val="tx1"/>
            </w14:solidFill>
          </w14:textFill>
        </w:rPr>
        <w:t>在此基础上，完善标准文本，形成了标准征求意见稿。</w:t>
      </w:r>
    </w:p>
    <w:p w14:paraId="377DBD72">
      <w:pPr>
        <w:keepNext w:val="0"/>
        <w:keepLines w:val="0"/>
        <w:pageBreakBefore w:val="0"/>
        <w:widowControl w:val="0"/>
        <w:kinsoku/>
        <w:wordWrap/>
        <w:overflowPunct/>
        <w:topLinePunct w:val="0"/>
        <w:bidi w:val="0"/>
        <w:adjustRightInd/>
        <w:snapToGrid/>
        <w:spacing w:line="600" w:lineRule="exact"/>
        <w:ind w:firstLine="640" w:firstLineChars="200"/>
        <w:rPr>
          <w:rFonts w:ascii="Times New Roman" w:hAnsi="Times New Roman" w:eastAsia="仿宋_GB2312" w:cs="仿宋_GB2312"/>
          <w:color w:val="000000" w:themeColor="text1"/>
          <w:sz w:val="32"/>
          <w:szCs w:val="32"/>
          <w:lang w:bidi="ar"/>
          <w14:textFill>
            <w14:solidFill>
              <w14:schemeClr w14:val="tx1"/>
            </w14:solidFill>
          </w14:textFill>
        </w:rPr>
      </w:pPr>
      <w:r>
        <w:rPr>
          <w:rFonts w:hint="eastAsia" w:ascii="Times New Roman" w:hAnsi="Times New Roman" w:eastAsia="仿宋_GB2312" w:cs="仿宋_GB2312"/>
          <w:color w:val="000000" w:themeColor="text1"/>
          <w:sz w:val="32"/>
          <w:szCs w:val="32"/>
          <w:lang w:bidi="ar"/>
          <w14:textFill>
            <w14:solidFill>
              <w14:schemeClr w14:val="tx1"/>
            </w14:solidFill>
          </w14:textFill>
        </w:rPr>
        <w:t>起草工作组将征求意见稿发给广东省食品行业协会及相关专家并在全国团体标准信息平台（</w:t>
      </w:r>
      <w:r>
        <w:rPr>
          <w:rFonts w:ascii="Times New Roman" w:hAnsi="Times New Roman" w:eastAsia="仿宋_GB2312"/>
          <w:color w:val="000000" w:themeColor="text1"/>
          <w:sz w:val="32"/>
          <w:szCs w:val="32"/>
          <w:lang w:bidi="ar"/>
          <w14:textFill>
            <w14:solidFill>
              <w14:schemeClr w14:val="tx1"/>
            </w14:solidFill>
          </w14:textFill>
        </w:rPr>
        <w:t>http://www.ttbz.org.cn/</w:t>
      </w:r>
      <w:r>
        <w:rPr>
          <w:rFonts w:hint="eastAsia" w:ascii="Times New Roman" w:hAnsi="Times New Roman" w:eastAsia="仿宋_GB2312" w:cs="仿宋_GB2312"/>
          <w:color w:val="000000" w:themeColor="text1"/>
          <w:sz w:val="32"/>
          <w:szCs w:val="32"/>
          <w:lang w:bidi="ar"/>
          <w14:textFill>
            <w14:solidFill>
              <w14:schemeClr w14:val="tx1"/>
            </w14:solidFill>
          </w14:textFill>
        </w:rPr>
        <w:t>）和南方食品医药网（</w:t>
      </w:r>
      <w:r>
        <w:rPr>
          <w:rFonts w:hint="eastAsia" w:ascii="Times New Roman" w:hAnsi="Times New Roman" w:eastAsia="仿宋_GB2312"/>
          <w:color w:val="000000" w:themeColor="text1"/>
          <w:sz w:val="32"/>
          <w:szCs w:val="32"/>
          <w:lang w:bidi="ar"/>
          <w14:textFill>
            <w14:solidFill>
              <w14:schemeClr w14:val="tx1"/>
            </w14:solidFill>
          </w14:textFill>
        </w:rPr>
        <w:t>http://www.southfp.com/</w:t>
      </w:r>
      <w:r>
        <w:rPr>
          <w:rFonts w:hint="eastAsia" w:ascii="Times New Roman" w:hAnsi="Times New Roman" w:eastAsia="仿宋_GB2312" w:cs="仿宋_GB2312"/>
          <w:color w:val="000000" w:themeColor="text1"/>
          <w:sz w:val="32"/>
          <w:szCs w:val="32"/>
          <w:lang w:bidi="ar"/>
          <w14:textFill>
            <w14:solidFill>
              <w14:schemeClr w14:val="tx1"/>
            </w14:solidFill>
          </w14:textFill>
        </w:rPr>
        <w:t>）面向社会公开征集意见（征求意见期为</w:t>
      </w:r>
      <w:r>
        <w:rPr>
          <w:rFonts w:ascii="Times New Roman" w:hAnsi="Times New Roman" w:eastAsia="仿宋_GB2312" w:cs="仿宋_GB2312"/>
          <w:color w:val="000000" w:themeColor="text1"/>
          <w:sz w:val="32"/>
          <w:szCs w:val="32"/>
          <w:highlight w:val="none"/>
          <w:lang w:bidi="ar"/>
          <w14:textFill>
            <w14:solidFill>
              <w14:schemeClr w14:val="tx1"/>
            </w14:solidFill>
          </w14:textFill>
        </w:rPr>
        <w:t>202</w:t>
      </w:r>
      <w:r>
        <w:rPr>
          <w:rFonts w:hint="eastAsia" w:ascii="Times New Roman" w:hAnsi="Times New Roman" w:eastAsia="仿宋_GB2312" w:cs="仿宋_GB2312"/>
          <w:color w:val="000000" w:themeColor="text1"/>
          <w:sz w:val="32"/>
          <w:szCs w:val="32"/>
          <w:highlight w:val="none"/>
          <w:lang w:val="en-US" w:eastAsia="zh-CN" w:bidi="ar"/>
          <w14:textFill>
            <w14:solidFill>
              <w14:schemeClr w14:val="tx1"/>
            </w14:solidFill>
          </w14:textFill>
        </w:rPr>
        <w:t>5</w:t>
      </w:r>
      <w:r>
        <w:rPr>
          <w:rFonts w:ascii="Times New Roman" w:hAnsi="Times New Roman" w:eastAsia="仿宋_GB2312" w:cs="仿宋_GB2312"/>
          <w:color w:val="000000" w:themeColor="text1"/>
          <w:sz w:val="32"/>
          <w:szCs w:val="32"/>
          <w:highlight w:val="none"/>
          <w:lang w:bidi="ar"/>
          <w14:textFill>
            <w14:solidFill>
              <w14:schemeClr w14:val="tx1"/>
            </w14:solidFill>
          </w14:textFill>
        </w:rPr>
        <w:t>年</w:t>
      </w:r>
      <w:r>
        <w:rPr>
          <w:rFonts w:hint="eastAsia" w:ascii="Times New Roman" w:hAnsi="Times New Roman" w:eastAsia="仿宋_GB2312" w:cs="仿宋_GB2312"/>
          <w:color w:val="000000" w:themeColor="text1"/>
          <w:sz w:val="32"/>
          <w:szCs w:val="32"/>
          <w:highlight w:val="none"/>
          <w:lang w:val="en-US" w:eastAsia="zh-CN" w:bidi="ar"/>
          <w14:textFill>
            <w14:solidFill>
              <w14:schemeClr w14:val="tx1"/>
            </w14:solidFill>
          </w14:textFill>
        </w:rPr>
        <w:t>10</w:t>
      </w:r>
      <w:bookmarkStart w:id="0" w:name="_GoBack"/>
      <w:bookmarkEnd w:id="0"/>
      <w:r>
        <w:rPr>
          <w:rFonts w:ascii="Times New Roman" w:hAnsi="Times New Roman" w:eastAsia="仿宋_GB2312" w:cs="仿宋_GB2312"/>
          <w:color w:val="000000" w:themeColor="text1"/>
          <w:sz w:val="32"/>
          <w:szCs w:val="32"/>
          <w:highlight w:val="none"/>
          <w:lang w:bidi="ar"/>
          <w14:textFill>
            <w14:solidFill>
              <w14:schemeClr w14:val="tx1"/>
            </w14:solidFill>
          </w14:textFill>
        </w:rPr>
        <w:t>月</w:t>
      </w:r>
      <w:r>
        <w:rPr>
          <w:rFonts w:hint="eastAsia" w:ascii="Times New Roman" w:hAnsi="Times New Roman" w:eastAsia="仿宋_GB2312" w:cs="仿宋_GB2312"/>
          <w:color w:val="000000" w:themeColor="text1"/>
          <w:sz w:val="32"/>
          <w:szCs w:val="32"/>
          <w:highlight w:val="none"/>
          <w:lang w:val="en-US" w:eastAsia="zh-CN" w:bidi="ar"/>
          <w14:textFill>
            <w14:solidFill>
              <w14:schemeClr w14:val="tx1"/>
            </w14:solidFill>
          </w14:textFill>
        </w:rPr>
        <w:t>9</w:t>
      </w:r>
      <w:r>
        <w:rPr>
          <w:rFonts w:ascii="Times New Roman" w:hAnsi="Times New Roman" w:eastAsia="仿宋_GB2312" w:cs="仿宋_GB2312"/>
          <w:color w:val="000000" w:themeColor="text1"/>
          <w:sz w:val="32"/>
          <w:szCs w:val="32"/>
          <w:highlight w:val="none"/>
          <w:lang w:bidi="ar"/>
          <w14:textFill>
            <w14:solidFill>
              <w14:schemeClr w14:val="tx1"/>
            </w14:solidFill>
          </w14:textFill>
        </w:rPr>
        <w:t>日-</w:t>
      </w:r>
      <w:r>
        <w:rPr>
          <w:rFonts w:hint="eastAsia" w:ascii="Times New Roman" w:hAnsi="Times New Roman" w:eastAsia="仿宋_GB2312" w:cs="仿宋_GB2312"/>
          <w:color w:val="000000" w:themeColor="text1"/>
          <w:sz w:val="32"/>
          <w:szCs w:val="32"/>
          <w:highlight w:val="none"/>
          <w:lang w:val="en-US" w:eastAsia="zh-CN" w:bidi="ar"/>
          <w14:textFill>
            <w14:solidFill>
              <w14:schemeClr w14:val="tx1"/>
            </w14:solidFill>
          </w14:textFill>
        </w:rPr>
        <w:t>11</w:t>
      </w:r>
      <w:r>
        <w:rPr>
          <w:rFonts w:ascii="Times New Roman" w:hAnsi="Times New Roman" w:eastAsia="仿宋_GB2312" w:cs="仿宋_GB2312"/>
          <w:color w:val="000000" w:themeColor="text1"/>
          <w:sz w:val="32"/>
          <w:szCs w:val="32"/>
          <w:highlight w:val="none"/>
          <w:lang w:bidi="ar"/>
          <w14:textFill>
            <w14:solidFill>
              <w14:schemeClr w14:val="tx1"/>
            </w14:solidFill>
          </w14:textFill>
        </w:rPr>
        <w:t>月</w:t>
      </w:r>
      <w:r>
        <w:rPr>
          <w:rFonts w:hint="eastAsia" w:ascii="Times New Roman" w:hAnsi="Times New Roman" w:eastAsia="仿宋_GB2312" w:cs="仿宋_GB2312"/>
          <w:color w:val="000000" w:themeColor="text1"/>
          <w:sz w:val="32"/>
          <w:szCs w:val="32"/>
          <w:highlight w:val="none"/>
          <w:lang w:val="en-US" w:eastAsia="zh-CN" w:bidi="ar"/>
          <w14:textFill>
            <w14:solidFill>
              <w14:schemeClr w14:val="tx1"/>
            </w14:solidFill>
          </w14:textFill>
        </w:rPr>
        <w:t>9</w:t>
      </w:r>
      <w:r>
        <w:rPr>
          <w:rFonts w:ascii="Times New Roman" w:hAnsi="Times New Roman" w:eastAsia="仿宋_GB2312" w:cs="仿宋_GB2312"/>
          <w:color w:val="000000" w:themeColor="text1"/>
          <w:sz w:val="32"/>
          <w:szCs w:val="32"/>
          <w:highlight w:val="none"/>
          <w:lang w:bidi="ar"/>
          <w14:textFill>
            <w14:solidFill>
              <w14:schemeClr w14:val="tx1"/>
            </w14:solidFill>
          </w14:textFill>
        </w:rPr>
        <w:t>日</w:t>
      </w:r>
      <w:r>
        <w:rPr>
          <w:rFonts w:hint="eastAsia" w:ascii="Times New Roman" w:hAnsi="Times New Roman" w:eastAsia="仿宋_GB2312" w:cs="仿宋_GB2312"/>
          <w:color w:val="000000" w:themeColor="text1"/>
          <w:sz w:val="32"/>
          <w:szCs w:val="32"/>
          <w:lang w:bidi="ar"/>
          <w14:textFill>
            <w14:solidFill>
              <w14:schemeClr w14:val="tx1"/>
            </w14:solidFill>
          </w14:textFill>
        </w:rPr>
        <w:t>）。</w:t>
      </w:r>
    </w:p>
    <w:p w14:paraId="6BC7CD3A">
      <w:pPr>
        <w:keepNext w:val="0"/>
        <w:keepLines w:val="0"/>
        <w:pageBreakBefore w:val="0"/>
        <w:widowControl w:val="0"/>
        <w:kinsoku/>
        <w:wordWrap/>
        <w:overflowPunct/>
        <w:topLinePunct w:val="0"/>
        <w:bidi w:val="0"/>
        <w:adjustRightInd/>
        <w:snapToGrid/>
        <w:spacing w:line="600" w:lineRule="exact"/>
        <w:ind w:firstLine="640" w:firstLineChars="200"/>
        <w:rPr>
          <w:rFonts w:ascii="Times New Roman" w:hAnsi="Times New Roman" w:eastAsia="黑体" w:cs="黑体"/>
          <w:color w:val="000000" w:themeColor="text1"/>
          <w:sz w:val="32"/>
          <w:szCs w:val="32"/>
          <w14:textFill>
            <w14:solidFill>
              <w14:schemeClr w14:val="tx1"/>
            </w14:solidFill>
          </w14:textFill>
        </w:rPr>
      </w:pPr>
      <w:r>
        <w:rPr>
          <w:rFonts w:hint="eastAsia" w:ascii="Times New Roman" w:hAnsi="Times New Roman" w:eastAsia="黑体" w:cs="黑体"/>
          <w:color w:val="000000" w:themeColor="text1"/>
          <w:sz w:val="32"/>
          <w:szCs w:val="32"/>
          <w14:textFill>
            <w14:solidFill>
              <w14:schemeClr w14:val="tx1"/>
            </w14:solidFill>
          </w14:textFill>
        </w:rPr>
        <w:t>四、标准制订的基本原则和依据</w:t>
      </w:r>
    </w:p>
    <w:p w14:paraId="7AC78FEC">
      <w:pPr>
        <w:keepNext w:val="0"/>
        <w:keepLines w:val="0"/>
        <w:pageBreakBefore w:val="0"/>
        <w:widowControl w:val="0"/>
        <w:kinsoku/>
        <w:wordWrap/>
        <w:overflowPunct/>
        <w:topLinePunct w:val="0"/>
        <w:bidi w:val="0"/>
        <w:adjustRightInd/>
        <w:snapToGrid/>
        <w:spacing w:line="600" w:lineRule="exact"/>
        <w:ind w:firstLine="643" w:firstLineChars="200"/>
        <w:rPr>
          <w:rFonts w:ascii="Times New Roman" w:hAnsi="Times New Roman" w:eastAsia="楷体_GB2312" w:cs="楷体_GB2312"/>
          <w:b/>
          <w:bCs/>
          <w:color w:val="000000" w:themeColor="text1"/>
          <w:sz w:val="32"/>
          <w:szCs w:val="32"/>
          <w:lang w:eastAsia="zh-Hans"/>
          <w14:textFill>
            <w14:solidFill>
              <w14:schemeClr w14:val="tx1"/>
            </w14:solidFill>
          </w14:textFill>
        </w:rPr>
      </w:pPr>
      <w:r>
        <w:rPr>
          <w:rFonts w:hint="eastAsia" w:ascii="Times New Roman" w:hAnsi="Times New Roman" w:eastAsia="楷体_GB2312" w:cs="楷体_GB2312"/>
          <w:b/>
          <w:bCs/>
          <w:color w:val="000000" w:themeColor="text1"/>
          <w:sz w:val="32"/>
          <w:szCs w:val="32"/>
          <w14:textFill>
            <w14:solidFill>
              <w14:schemeClr w14:val="tx1"/>
            </w14:solidFill>
          </w14:textFill>
        </w:rPr>
        <w:t>（一）标准编制原则</w:t>
      </w:r>
    </w:p>
    <w:p w14:paraId="5263F7A3">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bidi="ar"/>
          <w14:textFill>
            <w14:solidFill>
              <w14:schemeClr w14:val="tx1"/>
            </w14:solidFill>
          </w14:textFill>
        </w:rPr>
      </w:pPr>
      <w:r>
        <w:rPr>
          <w:rFonts w:hint="eastAsia" w:ascii="Times New Roman" w:hAnsi="Times New Roman" w:eastAsia="仿宋_GB2312"/>
          <w:color w:val="000000" w:themeColor="text1"/>
          <w:sz w:val="32"/>
          <w:szCs w:val="32"/>
          <w:lang w:eastAsia="zh-CN" w:bidi="ar"/>
          <w14:textFill>
            <w14:solidFill>
              <w14:schemeClr w14:val="tx1"/>
            </w14:solidFill>
          </w14:textFill>
        </w:rPr>
        <w:t>本</w:t>
      </w:r>
      <w:r>
        <w:rPr>
          <w:rFonts w:hint="eastAsia" w:ascii="Times New Roman" w:hAnsi="Times New Roman" w:eastAsia="仿宋_GB2312"/>
          <w:color w:val="000000" w:themeColor="text1"/>
          <w:sz w:val="32"/>
          <w:szCs w:val="32"/>
          <w:lang w:bidi="ar"/>
          <w14:textFill>
            <w14:solidFill>
              <w14:schemeClr w14:val="tx1"/>
            </w14:solidFill>
          </w14:textFill>
        </w:rPr>
        <w:t>标准依据《中华人民共和国标准化法》、</w:t>
      </w:r>
      <w:r>
        <w:rPr>
          <w:rFonts w:ascii="Times New Roman" w:hAnsi="Times New Roman" w:eastAsia="仿宋_GB2312"/>
          <w:color w:val="000000" w:themeColor="text1"/>
          <w:sz w:val="32"/>
          <w:szCs w:val="32"/>
          <w:lang w:bidi="ar"/>
          <w14:textFill>
            <w14:solidFill>
              <w14:schemeClr w14:val="tx1"/>
            </w14:solidFill>
          </w14:textFill>
        </w:rPr>
        <w:t>GB/T</w:t>
      </w:r>
      <w:r>
        <w:rPr>
          <w:rFonts w:hint="eastAsia" w:ascii="Times New Roman" w:hAnsi="Times New Roman" w:eastAsia="仿宋_GB2312"/>
          <w:color w:val="000000" w:themeColor="text1"/>
          <w:sz w:val="32"/>
          <w:szCs w:val="32"/>
          <w:lang w:val="en-US" w:eastAsia="zh-CN" w:bidi="ar"/>
          <w14:textFill>
            <w14:solidFill>
              <w14:schemeClr w14:val="tx1"/>
            </w14:solidFill>
          </w14:textFill>
        </w:rPr>
        <w:t xml:space="preserve"> </w:t>
      </w:r>
      <w:r>
        <w:rPr>
          <w:rFonts w:ascii="Times New Roman" w:hAnsi="Times New Roman" w:eastAsia="仿宋_GB2312"/>
          <w:color w:val="000000" w:themeColor="text1"/>
          <w:sz w:val="32"/>
          <w:szCs w:val="32"/>
          <w:lang w:bidi="ar"/>
          <w14:textFill>
            <w14:solidFill>
              <w14:schemeClr w14:val="tx1"/>
            </w14:solidFill>
          </w14:textFill>
        </w:rPr>
        <w:t>1.</w:t>
      </w:r>
      <w:r>
        <w:rPr>
          <w:rFonts w:hint="eastAsia" w:ascii="Times New Roman" w:hAnsi="Times New Roman" w:eastAsia="仿宋_GB2312"/>
          <w:color w:val="000000" w:themeColor="text1"/>
          <w:sz w:val="32"/>
          <w:szCs w:val="32"/>
          <w:lang w:val="en-US" w:eastAsia="zh-CN" w:bidi="ar"/>
          <w14:textFill>
            <w14:solidFill>
              <w14:schemeClr w14:val="tx1"/>
            </w14:solidFill>
          </w14:textFill>
        </w:rPr>
        <w:t>1</w:t>
      </w:r>
      <w:r>
        <w:rPr>
          <w:rFonts w:ascii="Times New Roman" w:hAnsi="Times New Roman" w:eastAsia="仿宋_GB2312"/>
          <w:color w:val="000000" w:themeColor="text1"/>
          <w:sz w:val="32"/>
          <w:szCs w:val="32"/>
          <w:lang w:bidi="ar"/>
          <w14:textFill>
            <w14:solidFill>
              <w14:schemeClr w14:val="tx1"/>
            </w14:solidFill>
          </w14:textFill>
        </w:rPr>
        <w:t>－2020</w:t>
      </w:r>
      <w:r>
        <w:rPr>
          <w:rFonts w:hint="eastAsia" w:ascii="Times New Roman" w:hAnsi="Times New Roman" w:eastAsia="仿宋_GB2312"/>
          <w:color w:val="000000" w:themeColor="text1"/>
          <w:sz w:val="32"/>
          <w:szCs w:val="32"/>
          <w:lang w:bidi="ar"/>
          <w14:textFill>
            <w14:solidFill>
              <w14:schemeClr w14:val="tx1"/>
            </w14:solidFill>
          </w14:textFill>
        </w:rPr>
        <w:t>《标准化工作导则</w:t>
      </w:r>
      <w:r>
        <w:rPr>
          <w:rFonts w:ascii="Times New Roman" w:hAnsi="Times New Roman" w:eastAsia="仿宋_GB2312"/>
          <w:color w:val="000000" w:themeColor="text1"/>
          <w:sz w:val="32"/>
          <w:szCs w:val="32"/>
          <w:lang w:bidi="ar"/>
          <w14:textFill>
            <w14:solidFill>
              <w14:schemeClr w14:val="tx1"/>
            </w14:solidFill>
          </w14:textFill>
        </w:rPr>
        <w:t xml:space="preserve"> </w:t>
      </w:r>
      <w:r>
        <w:rPr>
          <w:rFonts w:hint="eastAsia" w:ascii="Times New Roman" w:hAnsi="Times New Roman" w:eastAsia="仿宋_GB2312"/>
          <w:color w:val="000000" w:themeColor="text1"/>
          <w:sz w:val="32"/>
          <w:szCs w:val="32"/>
          <w:lang w:bidi="ar"/>
          <w14:textFill>
            <w14:solidFill>
              <w14:schemeClr w14:val="tx1"/>
            </w14:solidFill>
          </w14:textFill>
        </w:rPr>
        <w:t>第</w:t>
      </w:r>
      <w:r>
        <w:rPr>
          <w:rFonts w:ascii="Times New Roman" w:hAnsi="Times New Roman" w:eastAsia="仿宋_GB2312"/>
          <w:color w:val="000000" w:themeColor="text1"/>
          <w:sz w:val="32"/>
          <w:szCs w:val="32"/>
          <w:lang w:bidi="ar"/>
          <w14:textFill>
            <w14:solidFill>
              <w14:schemeClr w14:val="tx1"/>
            </w14:solidFill>
          </w14:textFill>
        </w:rPr>
        <w:t>1</w:t>
      </w:r>
      <w:r>
        <w:rPr>
          <w:rFonts w:hint="eastAsia" w:ascii="Times New Roman" w:hAnsi="Times New Roman" w:eastAsia="仿宋_GB2312"/>
          <w:color w:val="000000" w:themeColor="text1"/>
          <w:sz w:val="32"/>
          <w:szCs w:val="32"/>
          <w:lang w:bidi="ar"/>
          <w14:textFill>
            <w14:solidFill>
              <w14:schemeClr w14:val="tx1"/>
            </w14:solidFill>
          </w14:textFill>
        </w:rPr>
        <w:t>部分：标准化文件的结构和起草规则》等规定</w:t>
      </w:r>
      <w:r>
        <w:rPr>
          <w:rFonts w:hint="eastAsia" w:ascii="Times New Roman" w:hAnsi="Times New Roman" w:eastAsia="仿宋_GB2312"/>
          <w:color w:val="000000" w:themeColor="text1"/>
          <w:sz w:val="32"/>
          <w:szCs w:val="32"/>
          <w:lang w:eastAsia="zh-CN" w:bidi="ar"/>
          <w14:textFill>
            <w14:solidFill>
              <w14:schemeClr w14:val="tx1"/>
            </w14:solidFill>
          </w14:textFill>
        </w:rPr>
        <w:t>和要求编写本标准文件</w:t>
      </w:r>
      <w:r>
        <w:rPr>
          <w:rFonts w:hint="eastAsia" w:ascii="Times New Roman" w:hAnsi="Times New Roman" w:eastAsia="仿宋_GB2312"/>
          <w:color w:val="000000" w:themeColor="text1"/>
          <w:sz w:val="32"/>
          <w:szCs w:val="32"/>
          <w:lang w:bidi="ar"/>
          <w14:textFill>
            <w14:solidFill>
              <w14:schemeClr w14:val="tx1"/>
            </w14:solidFill>
          </w14:textFill>
        </w:rPr>
        <w:t>。</w:t>
      </w:r>
    </w:p>
    <w:p w14:paraId="0F9E2308">
      <w:pPr>
        <w:keepNext w:val="0"/>
        <w:keepLines w:val="0"/>
        <w:pageBreakBefore w:val="0"/>
        <w:widowControl w:val="0"/>
        <w:kinsoku/>
        <w:wordWrap/>
        <w:overflowPunct/>
        <w:topLinePunct w:val="0"/>
        <w:bidi w:val="0"/>
        <w:adjustRightInd/>
        <w:snapToGrid/>
        <w:spacing w:line="600" w:lineRule="exact"/>
        <w:ind w:firstLine="640" w:firstLineChars="200"/>
        <w:rPr>
          <w:rFonts w:hint="default" w:ascii="Times New Roman" w:hAnsi="Times New Roman" w:eastAsia="仿宋_GB2312"/>
          <w:color w:val="000000" w:themeColor="text1"/>
          <w:sz w:val="32"/>
          <w:szCs w:val="32"/>
          <w:lang w:val="en-US" w:eastAsia="zh-CN" w:bidi="ar"/>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本标准在制定过程中严格贯彻国家有关方针、政策、法律和规章等，严格执行国家强制性标准和行业标准，与相关的各种基础标准相衔接，遵循了政策性和协调统一性的原则。</w:t>
      </w:r>
      <w:r>
        <w:rPr>
          <w:rFonts w:ascii="Times New Roman" w:hAnsi="Times New Roman" w:eastAsia="仿宋_GB2312"/>
          <w:color w:val="000000" w:themeColor="text1"/>
          <w:sz w:val="32"/>
          <w:szCs w:val="32"/>
          <w:lang w:val="en-US" w:eastAsia="zh-CN" w:bidi="ar"/>
          <w14:textFill>
            <w14:solidFill>
              <w14:schemeClr w14:val="tx1"/>
            </w14:solidFill>
          </w14:textFill>
        </w:rPr>
        <w:t xml:space="preserve">本标准与现行法律、法规、规章和政策以及有关基础和强制性标准不矛盾。 </w:t>
      </w:r>
    </w:p>
    <w:p w14:paraId="272EC68B">
      <w:pPr>
        <w:keepNext w:val="0"/>
        <w:keepLines w:val="0"/>
        <w:pageBreakBefore w:val="0"/>
        <w:widowControl w:val="0"/>
        <w:kinsoku/>
        <w:wordWrap/>
        <w:overflowPunct/>
        <w:topLinePunct w:val="0"/>
        <w:bidi w:val="0"/>
        <w:adjustRightInd/>
        <w:snapToGrid/>
        <w:spacing w:line="600" w:lineRule="exact"/>
        <w:ind w:firstLine="643" w:firstLineChars="200"/>
        <w:rPr>
          <w:rFonts w:ascii="Times New Roman" w:hAnsi="Times New Roman" w:eastAsia="楷体_GB2312" w:cs="楷体_GB2312"/>
          <w:b/>
          <w:bCs/>
          <w:color w:val="000000" w:themeColor="text1"/>
          <w:sz w:val="32"/>
          <w:szCs w:val="32"/>
          <w14:textFill>
            <w14:solidFill>
              <w14:schemeClr w14:val="tx1"/>
            </w14:solidFill>
          </w14:textFill>
        </w:rPr>
      </w:pPr>
      <w:r>
        <w:rPr>
          <w:rFonts w:hint="eastAsia" w:ascii="Times New Roman" w:hAnsi="Times New Roman" w:eastAsia="楷体_GB2312" w:cs="楷体_GB2312"/>
          <w:b/>
          <w:bCs/>
          <w:color w:val="000000" w:themeColor="text1"/>
          <w:sz w:val="32"/>
          <w:szCs w:val="32"/>
          <w14:textFill>
            <w14:solidFill>
              <w14:schemeClr w14:val="tx1"/>
            </w14:solidFill>
          </w14:textFill>
        </w:rPr>
        <w:t>（二）标准制定依据</w:t>
      </w:r>
    </w:p>
    <w:p w14:paraId="26C7EB2A">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近红外光谱法在国内外均已</w:t>
      </w:r>
      <w:r>
        <w:rPr>
          <w:rFonts w:hint="eastAsia" w:ascii="Times New Roman" w:hAnsi="Times New Roman" w:eastAsia="仿宋_GB2312" w:cs="仿宋_GB2312"/>
          <w:color w:val="000000" w:themeColor="text1"/>
          <w:sz w:val="32"/>
          <w:szCs w:val="32"/>
          <w:lang w:bidi="ar"/>
          <w14:textFill>
            <w14:solidFill>
              <w14:schemeClr w14:val="tx1"/>
            </w14:solidFill>
          </w14:textFill>
        </w:rPr>
        <w:t>应用</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得较为广泛</w:t>
      </w:r>
      <w:r>
        <w:rPr>
          <w:rFonts w:hint="eastAsia" w:ascii="Times New Roman" w:hAnsi="Times New Roman" w:eastAsia="仿宋_GB2312" w:cs="仿宋_GB2312"/>
          <w:color w:val="000000" w:themeColor="text1"/>
          <w:sz w:val="32"/>
          <w:szCs w:val="32"/>
          <w:lang w:bidi="ar"/>
          <w14:textFill>
            <w14:solidFill>
              <w14:schemeClr w14:val="tx1"/>
            </w14:solidFill>
          </w14:textFill>
        </w:rPr>
        <w:t>，</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如</w:t>
      </w:r>
      <w:r>
        <w:rPr>
          <w:rFonts w:ascii="Times New Roman" w:hAnsi="Times New Roman" w:eastAsia="仿宋_GB2312"/>
          <w:color w:val="000000" w:themeColor="text1"/>
          <w:sz w:val="32"/>
          <w:szCs w:val="32"/>
          <w:lang w:bidi="ar"/>
          <w14:textFill>
            <w14:solidFill>
              <w14:schemeClr w14:val="tx1"/>
            </w14:solidFill>
          </w14:textFill>
        </w:rPr>
        <w:t>USDA</w:t>
      </w:r>
      <w:r>
        <w:rPr>
          <w:rFonts w:hint="eastAsia" w:ascii="Times New Roman" w:hAnsi="Times New Roman" w:eastAsia="仿宋_GB2312" w:cs="仿宋_GB2312"/>
          <w:color w:val="000000" w:themeColor="text1"/>
          <w:sz w:val="32"/>
          <w:szCs w:val="32"/>
          <w:lang w:bidi="ar"/>
          <w14:textFill>
            <w14:solidFill>
              <w14:schemeClr w14:val="tx1"/>
            </w14:solidFill>
          </w14:textFill>
        </w:rPr>
        <w:t>颁布了使用近红外法检测大麦中蛋白质含量、玉米中脂肪、蛋白质和淀粉含量、大豆中蛋白质和脂肪含量以及小麦中湿谷蛋白含量的流程。</w:t>
      </w:r>
      <w:r>
        <w:rPr>
          <w:rFonts w:ascii="Times New Roman" w:hAnsi="Times New Roman" w:eastAsia="仿宋_GB2312"/>
          <w:color w:val="000000" w:themeColor="text1"/>
          <w:sz w:val="32"/>
          <w:szCs w:val="32"/>
          <w:lang w:bidi="ar"/>
          <w14:textFill>
            <w14:solidFill>
              <w14:schemeClr w14:val="tx1"/>
            </w14:solidFill>
          </w14:textFill>
        </w:rPr>
        <w:t>ISO</w:t>
      </w:r>
      <w:r>
        <w:rPr>
          <w:rFonts w:hint="eastAsia" w:ascii="Times New Roman" w:hAnsi="Times New Roman" w:eastAsia="仿宋_GB2312" w:cs="仿宋_GB2312"/>
          <w:color w:val="000000" w:themeColor="text1"/>
          <w:sz w:val="32"/>
          <w:szCs w:val="32"/>
          <w:lang w:bidi="ar"/>
          <w14:textFill>
            <w14:solidFill>
              <w14:schemeClr w14:val="tx1"/>
            </w14:solidFill>
          </w14:textFill>
        </w:rPr>
        <w:t>颁布了应用近红外法检测奶制品中总固形物、蛋白质和脂肪含量的流程。</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国内也已发布</w:t>
      </w:r>
      <w:r>
        <w:rPr>
          <w:rFonts w:hint="eastAsia" w:ascii="Times New Roman" w:hAnsi="Times New Roman" w:eastAsia="仿宋_GB2312" w:cs="仿宋_GB2312"/>
          <w:color w:val="000000" w:themeColor="text1"/>
          <w:sz w:val="32"/>
          <w:szCs w:val="32"/>
          <w:lang w:bidi="ar"/>
          <w14:textFill>
            <w14:solidFill>
              <w14:schemeClr w14:val="tx1"/>
            </w14:solidFill>
          </w14:textFill>
        </w:rPr>
        <w:t>大豆</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w:t>
      </w:r>
      <w:r>
        <w:rPr>
          <w:rFonts w:hint="eastAsia" w:ascii="Times New Roman" w:hAnsi="Times New Roman" w:eastAsia="仿宋_GB2312" w:cs="仿宋_GB2312"/>
          <w:color w:val="000000" w:themeColor="text1"/>
          <w:sz w:val="32"/>
          <w:szCs w:val="32"/>
          <w:lang w:bidi="ar"/>
          <w14:textFill>
            <w14:solidFill>
              <w14:schemeClr w14:val="tx1"/>
            </w14:solidFill>
          </w14:textFill>
        </w:rPr>
        <w:t>小麦</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w:t>
      </w:r>
      <w:r>
        <w:rPr>
          <w:rFonts w:hint="eastAsia" w:ascii="Times New Roman" w:hAnsi="Times New Roman" w:eastAsia="仿宋_GB2312" w:cs="仿宋_GB2312"/>
          <w:color w:val="000000" w:themeColor="text1"/>
          <w:sz w:val="32"/>
          <w:szCs w:val="32"/>
          <w:lang w:bidi="ar"/>
          <w14:textFill>
            <w14:solidFill>
              <w14:schemeClr w14:val="tx1"/>
            </w14:solidFill>
          </w14:textFill>
        </w:rPr>
        <w:t>稻谷</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w:t>
      </w:r>
      <w:r>
        <w:rPr>
          <w:rFonts w:hint="eastAsia" w:ascii="Times New Roman" w:hAnsi="Times New Roman" w:eastAsia="仿宋_GB2312" w:cs="仿宋_GB2312"/>
          <w:color w:val="000000" w:themeColor="text1"/>
          <w:sz w:val="32"/>
          <w:szCs w:val="32"/>
          <w:lang w:bidi="ar"/>
          <w14:textFill>
            <w14:solidFill>
              <w14:schemeClr w14:val="tx1"/>
            </w14:solidFill>
          </w14:textFill>
        </w:rPr>
        <w:t>玉米</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等系列近红外检测标准，检测指标主要包括</w:t>
      </w:r>
      <w:r>
        <w:rPr>
          <w:rFonts w:hint="eastAsia" w:ascii="Times New Roman" w:hAnsi="Times New Roman" w:eastAsia="仿宋_GB2312" w:cs="仿宋_GB2312"/>
          <w:color w:val="000000" w:themeColor="text1"/>
          <w:sz w:val="32"/>
          <w:szCs w:val="32"/>
          <w:lang w:bidi="ar"/>
          <w14:textFill>
            <w14:solidFill>
              <w14:schemeClr w14:val="tx1"/>
            </w14:solidFill>
          </w14:textFill>
        </w:rPr>
        <w:t>水分、粗蛋白、粗脂肪含量等</w:t>
      </w:r>
      <w:r>
        <w:rPr>
          <w:rFonts w:hint="eastAsia" w:ascii="Times New Roman" w:hAnsi="Times New Roman" w:eastAsia="仿宋_GB2312" w:cs="仿宋_GB2312"/>
          <w:color w:val="000000" w:themeColor="text1"/>
          <w:sz w:val="32"/>
          <w:szCs w:val="32"/>
          <w14:textFill>
            <w14:solidFill>
              <w14:schemeClr w14:val="tx1"/>
            </w14:solidFill>
          </w14:textFill>
        </w:rPr>
        <w:t>。</w:t>
      </w:r>
    </w:p>
    <w:p w14:paraId="67608B36">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eastAsia="zh-CN" w:bidi="ar"/>
          <w14:textFill>
            <w14:solidFill>
              <w14:schemeClr w14:val="tx1"/>
            </w14:solidFill>
          </w14:textFill>
        </w:rPr>
      </w:pP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检索发现</w:t>
      </w:r>
      <w:r>
        <w:rPr>
          <w:rFonts w:hint="eastAsia" w:ascii="Times New Roman" w:hAnsi="Times New Roman" w:eastAsia="仿宋_GB2312" w:cs="仿宋_GB2312"/>
          <w:color w:val="000000" w:themeColor="text1"/>
          <w:sz w:val="32"/>
          <w:szCs w:val="32"/>
          <w:lang w:bidi="ar"/>
          <w14:textFill>
            <w14:solidFill>
              <w14:schemeClr w14:val="tx1"/>
            </w14:solidFill>
          </w14:textFill>
        </w:rPr>
        <w:t>，在</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大米直链淀粉含量测定</w:t>
      </w:r>
      <w:r>
        <w:rPr>
          <w:rFonts w:hint="eastAsia" w:ascii="Times New Roman" w:hAnsi="Times New Roman" w:eastAsia="仿宋_GB2312" w:cs="仿宋_GB2312"/>
          <w:color w:val="000000" w:themeColor="text1"/>
          <w:sz w:val="32"/>
          <w:szCs w:val="32"/>
          <w:lang w:bidi="ar"/>
          <w14:textFill>
            <w14:solidFill>
              <w14:schemeClr w14:val="tx1"/>
            </w14:solidFill>
          </w14:textFill>
        </w:rPr>
        <w:t>方面，国</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外</w:t>
      </w:r>
      <w:r>
        <w:rPr>
          <w:rFonts w:hint="eastAsia" w:ascii="Times New Roman" w:hAnsi="Times New Roman" w:eastAsia="仿宋_GB2312" w:cs="仿宋_GB2312"/>
          <w:color w:val="000000" w:themeColor="text1"/>
          <w:sz w:val="32"/>
          <w:szCs w:val="32"/>
          <w:lang w:bidi="ar"/>
          <w14:textFill>
            <w14:solidFill>
              <w14:schemeClr w14:val="tx1"/>
            </w14:solidFill>
          </w14:textFill>
        </w:rPr>
        <w:t>尚未建立近红外检测标准</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，故</w:t>
      </w:r>
      <w:r>
        <w:rPr>
          <w:rFonts w:hint="eastAsia" w:ascii="Times New Roman" w:hAnsi="Times New Roman" w:eastAsia="仿宋_GB2312" w:cs="仿宋_GB2312"/>
          <w:color w:val="000000" w:themeColor="text1"/>
          <w:sz w:val="32"/>
          <w:szCs w:val="32"/>
          <w:lang w:bidi="ar"/>
          <w14:textFill>
            <w14:solidFill>
              <w14:schemeClr w14:val="tx1"/>
            </w14:solidFill>
          </w14:textFill>
        </w:rPr>
        <w:t>本标准未采用国外标准</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w:t>
      </w:r>
    </w:p>
    <w:p w14:paraId="69A33985">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olor w:val="000000" w:themeColor="text1"/>
          <w:sz w:val="32"/>
          <w:szCs w:val="32"/>
          <w:lang w:bidi="ar"/>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本标准主要</w:t>
      </w:r>
      <w:r>
        <w:rPr>
          <w:rFonts w:hint="eastAsia" w:ascii="Times New Roman" w:hAnsi="Times New Roman" w:eastAsia="仿宋_GB2312" w:cs="仿宋_GB2312"/>
          <w:color w:val="000000" w:themeColor="text1"/>
          <w:sz w:val="32"/>
          <w:szCs w:val="32"/>
          <w:lang w:bidi="ar"/>
          <w14:textFill>
            <w14:solidFill>
              <w14:schemeClr w14:val="tx1"/>
            </w14:solidFill>
          </w14:textFill>
        </w:rPr>
        <w:t>借鉴</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了国内相关标准和资料，如参照</w:t>
      </w:r>
      <w:r>
        <w:rPr>
          <w:rFonts w:hint="eastAsia" w:ascii="Times New Roman" w:hAnsi="Times New Roman" w:eastAsia="仿宋_GB2312" w:cs="仿宋_GB2312"/>
          <w:color w:val="000000" w:themeColor="text1"/>
          <w:sz w:val="32"/>
          <w:szCs w:val="32"/>
          <w:lang w:bidi="ar"/>
          <w14:textFill>
            <w14:solidFill>
              <w14:schemeClr w14:val="tx1"/>
            </w14:solidFill>
          </w14:textFill>
        </w:rPr>
        <w:t>GB/T 24895-2010《粮油检验 近红外分析定标模型验证和网络管理与维护通用规则》</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w:t>
      </w: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近红外光谱分析技术实用手册</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》开展定量模型建立与验证，参考</w:t>
      </w:r>
      <w:r>
        <w:rPr>
          <w:rFonts w:hint="eastAsia" w:ascii="Times New Roman" w:hAnsi="Times New Roman" w:eastAsia="仿宋_GB2312"/>
          <w:color w:val="000000" w:themeColor="text1"/>
          <w:sz w:val="32"/>
          <w:szCs w:val="32"/>
          <w:lang w:bidi="ar"/>
          <w14:textFill>
            <w14:solidFill>
              <w14:schemeClr w14:val="tx1"/>
            </w14:solidFill>
          </w14:textFill>
        </w:rPr>
        <w:t xml:space="preserve">GB/T </w:t>
      </w:r>
      <w:r>
        <w:rPr>
          <w:rFonts w:hint="eastAsia" w:ascii="Times New Roman" w:hAnsi="Times New Roman" w:eastAsia="仿宋_GB2312"/>
          <w:color w:val="000000" w:themeColor="text1"/>
          <w:sz w:val="32"/>
          <w:szCs w:val="32"/>
          <w:lang w:val="en-US" w:eastAsia="zh-CN" w:bidi="ar"/>
          <w14:textFill>
            <w14:solidFill>
              <w14:schemeClr w14:val="tx1"/>
            </w14:solidFill>
          </w14:textFill>
        </w:rPr>
        <w:t>18868-2024</w:t>
      </w:r>
      <w:r>
        <w:rPr>
          <w:rFonts w:hint="eastAsia" w:ascii="Times New Roman" w:hAnsi="Times New Roman" w:eastAsia="仿宋_GB2312"/>
          <w:color w:val="000000" w:themeColor="text1"/>
          <w:sz w:val="32"/>
          <w:szCs w:val="32"/>
          <w:lang w:eastAsia="zh-CN" w:bidi="ar"/>
          <w14:textFill>
            <w14:solidFill>
              <w14:schemeClr w14:val="tx1"/>
            </w14:solidFill>
          </w14:textFill>
        </w:rPr>
        <w:t>《饲料中水分、粗蛋白质、粗纤维、粗脂肪、赖氨酸、蛋氨酸快速测定</w:t>
      </w:r>
      <w:r>
        <w:rPr>
          <w:rFonts w:ascii="Times New Roman" w:hAnsi="Times New Roman" w:eastAsia="仿宋_GB2312"/>
          <w:color w:val="000000" w:themeColor="text1"/>
          <w:sz w:val="32"/>
          <w:szCs w:val="32"/>
          <w:lang w:bidi="ar"/>
          <w14:textFill>
            <w14:solidFill>
              <w14:schemeClr w14:val="tx1"/>
            </w14:solidFill>
          </w14:textFill>
        </w:rPr>
        <w:t xml:space="preserve"> 近红外</w:t>
      </w:r>
      <w:r>
        <w:rPr>
          <w:rFonts w:hint="eastAsia" w:ascii="Times New Roman" w:hAnsi="Times New Roman" w:eastAsia="仿宋_GB2312"/>
          <w:color w:val="000000" w:themeColor="text1"/>
          <w:sz w:val="32"/>
          <w:szCs w:val="32"/>
          <w:lang w:eastAsia="zh-CN" w:bidi="ar"/>
          <w14:textFill>
            <w14:solidFill>
              <w14:schemeClr w14:val="tx1"/>
            </w14:solidFill>
          </w14:textFill>
        </w:rPr>
        <w:t>光谱</w:t>
      </w:r>
      <w:r>
        <w:rPr>
          <w:rFonts w:ascii="Times New Roman" w:hAnsi="Times New Roman" w:eastAsia="仿宋_GB2312"/>
          <w:color w:val="000000" w:themeColor="text1"/>
          <w:sz w:val="32"/>
          <w:szCs w:val="32"/>
          <w:lang w:bidi="ar"/>
          <w14:textFill>
            <w14:solidFill>
              <w14:schemeClr w14:val="tx1"/>
            </w14:solidFill>
          </w14:textFill>
        </w:rPr>
        <w:t>法</w:t>
      </w:r>
      <w:r>
        <w:rPr>
          <w:rFonts w:hint="eastAsia" w:ascii="Times New Roman" w:hAnsi="Times New Roman" w:eastAsia="仿宋_GB2312"/>
          <w:color w:val="000000" w:themeColor="text1"/>
          <w:sz w:val="32"/>
          <w:szCs w:val="32"/>
          <w:lang w:eastAsia="zh-CN" w:bidi="ar"/>
          <w14:textFill>
            <w14:solidFill>
              <w14:schemeClr w14:val="tx1"/>
            </w14:solidFill>
          </w14:textFill>
        </w:rPr>
        <w:t>》、</w:t>
      </w:r>
      <w:r>
        <w:rPr>
          <w:rFonts w:hint="eastAsia" w:ascii="Times New Roman" w:hAnsi="Times New Roman" w:eastAsia="仿宋_GB2312"/>
          <w:color w:val="000000" w:themeColor="text1"/>
          <w:sz w:val="32"/>
          <w:szCs w:val="32"/>
          <w:lang w:bidi="ar"/>
          <w14:textFill>
            <w14:solidFill>
              <w14:schemeClr w14:val="tx1"/>
            </w14:solidFill>
          </w14:textFill>
        </w:rPr>
        <w:t>GB/T 41366-2022</w:t>
      </w:r>
      <w:r>
        <w:rPr>
          <w:rFonts w:hint="eastAsia" w:ascii="Times New Roman" w:hAnsi="Times New Roman" w:eastAsia="仿宋_GB2312"/>
          <w:color w:val="000000" w:themeColor="text1"/>
          <w:sz w:val="32"/>
          <w:szCs w:val="32"/>
          <w:lang w:eastAsia="zh-CN" w:bidi="ar"/>
          <w14:textFill>
            <w14:solidFill>
              <w14:schemeClr w14:val="tx1"/>
            </w14:solidFill>
          </w14:textFill>
        </w:rPr>
        <w:t>《</w:t>
      </w:r>
      <w:r>
        <w:rPr>
          <w:rFonts w:ascii="Times New Roman" w:hAnsi="Times New Roman" w:eastAsia="仿宋_GB2312"/>
          <w:color w:val="000000" w:themeColor="text1"/>
          <w:sz w:val="32"/>
          <w:szCs w:val="32"/>
          <w:lang w:bidi="ar"/>
          <w14:textFill>
            <w14:solidFill>
              <w14:schemeClr w14:val="tx1"/>
            </w14:solidFill>
          </w14:textFill>
        </w:rPr>
        <w:t>畜禽肉品质检测 水分、蛋白质、脂肪含量的测定 近红外法</w:t>
      </w:r>
      <w:r>
        <w:rPr>
          <w:rFonts w:hint="eastAsia" w:ascii="Times New Roman" w:hAnsi="Times New Roman" w:eastAsia="仿宋_GB2312"/>
          <w:color w:val="000000" w:themeColor="text1"/>
          <w:sz w:val="32"/>
          <w:szCs w:val="32"/>
          <w:lang w:eastAsia="zh-CN" w:bidi="ar"/>
          <w14:textFill>
            <w14:solidFill>
              <w14:schemeClr w14:val="tx1"/>
            </w14:solidFill>
          </w14:textFill>
        </w:rPr>
        <w:t>》、</w:t>
      </w:r>
      <w:r>
        <w:rPr>
          <w:rFonts w:hint="eastAsia" w:ascii="Times New Roman" w:hAnsi="Times New Roman" w:eastAsia="仿宋_GB2312"/>
          <w:color w:val="000000" w:themeColor="text1"/>
          <w:sz w:val="32"/>
          <w:szCs w:val="32"/>
          <w:lang w:bidi="ar"/>
          <w14:textFill>
            <w14:solidFill>
              <w14:schemeClr w14:val="tx1"/>
            </w14:solidFill>
          </w14:textFill>
        </w:rPr>
        <w:t>GB/T 2</w:t>
      </w:r>
      <w:r>
        <w:rPr>
          <w:rFonts w:hint="eastAsia" w:ascii="Times New Roman" w:hAnsi="Times New Roman" w:eastAsia="仿宋_GB2312"/>
          <w:color w:val="000000" w:themeColor="text1"/>
          <w:sz w:val="32"/>
          <w:szCs w:val="32"/>
          <w:lang w:val="en-US" w:eastAsia="zh-CN" w:bidi="ar"/>
          <w14:textFill>
            <w14:solidFill>
              <w14:schemeClr w14:val="tx1"/>
            </w14:solidFill>
          </w14:textFill>
        </w:rPr>
        <w:t>5219</w:t>
      </w:r>
      <w:r>
        <w:rPr>
          <w:rFonts w:hint="eastAsia" w:ascii="Times New Roman" w:hAnsi="Times New Roman" w:eastAsia="仿宋_GB2312"/>
          <w:color w:val="000000" w:themeColor="text1"/>
          <w:sz w:val="32"/>
          <w:szCs w:val="32"/>
          <w:lang w:bidi="ar"/>
          <w14:textFill>
            <w14:solidFill>
              <w14:schemeClr w14:val="tx1"/>
            </w14:solidFill>
          </w14:textFill>
        </w:rPr>
        <w:t>-2010</w:t>
      </w:r>
      <w:r>
        <w:rPr>
          <w:rFonts w:hint="eastAsia" w:ascii="Times New Roman" w:hAnsi="Times New Roman" w:eastAsia="仿宋_GB2312"/>
          <w:color w:val="000000" w:themeColor="text1"/>
          <w:sz w:val="32"/>
          <w:szCs w:val="32"/>
          <w:lang w:eastAsia="zh-CN" w:bidi="ar"/>
          <w14:textFill>
            <w14:solidFill>
              <w14:schemeClr w14:val="tx1"/>
            </w14:solidFill>
          </w14:textFill>
        </w:rPr>
        <w:t>《</w:t>
      </w:r>
      <w:r>
        <w:rPr>
          <w:rFonts w:ascii="Times New Roman" w:hAnsi="Times New Roman" w:eastAsia="仿宋_GB2312"/>
          <w:color w:val="000000" w:themeColor="text1"/>
          <w:sz w:val="32"/>
          <w:szCs w:val="32"/>
          <w:lang w:bidi="ar"/>
          <w14:textFill>
            <w14:solidFill>
              <w14:schemeClr w14:val="tx1"/>
            </w14:solidFill>
          </w14:textFill>
        </w:rPr>
        <w:t>粮油检验 玉米</w:t>
      </w:r>
      <w:r>
        <w:rPr>
          <w:rFonts w:hint="eastAsia" w:ascii="Times New Roman" w:hAnsi="Times New Roman" w:eastAsia="仿宋_GB2312"/>
          <w:color w:val="000000" w:themeColor="text1"/>
          <w:sz w:val="32"/>
          <w:szCs w:val="32"/>
          <w:lang w:eastAsia="zh-CN" w:bidi="ar"/>
          <w14:textFill>
            <w14:solidFill>
              <w14:schemeClr w14:val="tx1"/>
            </w14:solidFill>
          </w14:textFill>
        </w:rPr>
        <w:t>淀粉</w:t>
      </w:r>
      <w:r>
        <w:rPr>
          <w:rFonts w:ascii="Times New Roman" w:hAnsi="Times New Roman" w:eastAsia="仿宋_GB2312"/>
          <w:color w:val="000000" w:themeColor="text1"/>
          <w:sz w:val="32"/>
          <w:szCs w:val="32"/>
          <w:lang w:bidi="ar"/>
          <w14:textFill>
            <w14:solidFill>
              <w14:schemeClr w14:val="tx1"/>
            </w14:solidFill>
          </w14:textFill>
        </w:rPr>
        <w:t>含量测定</w:t>
      </w:r>
      <w:r>
        <w:rPr>
          <w:rFonts w:hint="eastAsia" w:ascii="Times New Roman" w:hAnsi="Times New Roman" w:eastAsia="仿宋_GB2312"/>
          <w:color w:val="000000" w:themeColor="text1"/>
          <w:sz w:val="32"/>
          <w:szCs w:val="32"/>
          <w:lang w:val="en-US" w:eastAsia="zh-CN" w:bidi="ar"/>
          <w14:textFill>
            <w14:solidFill>
              <w14:schemeClr w14:val="tx1"/>
            </w14:solidFill>
          </w14:textFill>
        </w:rPr>
        <w:t xml:space="preserve"> 近红外法</w:t>
      </w:r>
      <w:r>
        <w:rPr>
          <w:rFonts w:hint="eastAsia" w:ascii="Times New Roman" w:hAnsi="Times New Roman" w:eastAsia="仿宋_GB2312"/>
          <w:color w:val="000000" w:themeColor="text1"/>
          <w:sz w:val="32"/>
          <w:szCs w:val="32"/>
          <w:lang w:eastAsia="zh-CN" w:bidi="ar"/>
          <w14:textFill>
            <w14:solidFill>
              <w14:schemeClr w14:val="tx1"/>
            </w14:solidFill>
          </w14:textFill>
        </w:rPr>
        <w:t>》</w:t>
      </w:r>
      <w:r>
        <w:rPr>
          <w:rFonts w:hint="eastAsia" w:ascii="Times New Roman" w:hAnsi="Times New Roman" w:eastAsia="仿宋_GB2312" w:cs="仿宋_GB2312"/>
          <w:color w:val="000000" w:themeColor="text1"/>
          <w:sz w:val="32"/>
          <w:szCs w:val="32"/>
          <w:lang w:bidi="ar"/>
          <w14:textFill>
            <w14:solidFill>
              <w14:schemeClr w14:val="tx1"/>
            </w14:solidFill>
          </w14:textFill>
        </w:rPr>
        <w:t>等</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编制</w:t>
      </w:r>
      <w:r>
        <w:rPr>
          <w:rFonts w:hint="eastAsia" w:ascii="Times New Roman" w:hAnsi="Times New Roman" w:eastAsia="仿宋_GB2312" w:cs="仿宋_GB2312"/>
          <w:color w:val="000000" w:themeColor="text1"/>
          <w:sz w:val="32"/>
          <w:szCs w:val="32"/>
          <w:lang w:bidi="ar"/>
          <w14:textFill>
            <w14:solidFill>
              <w14:schemeClr w14:val="tx1"/>
            </w14:solidFill>
          </w14:textFill>
        </w:rPr>
        <w:t>标准</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文本</w:t>
      </w:r>
      <w:r>
        <w:rPr>
          <w:rFonts w:hint="eastAsia" w:ascii="Times New Roman" w:hAnsi="Times New Roman" w:eastAsia="仿宋_GB2312" w:cs="仿宋_GB2312"/>
          <w:color w:val="000000" w:themeColor="text1"/>
          <w:sz w:val="32"/>
          <w:szCs w:val="32"/>
          <w:lang w:bidi="ar"/>
          <w14:textFill>
            <w14:solidFill>
              <w14:schemeClr w14:val="tx1"/>
            </w14:solidFill>
          </w14:textFill>
        </w:rPr>
        <w:t>。</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本标准主要</w:t>
      </w:r>
      <w:r>
        <w:rPr>
          <w:rFonts w:hint="eastAsia" w:ascii="Times New Roman" w:hAnsi="Times New Roman" w:eastAsia="仿宋_GB2312"/>
          <w:color w:val="000000" w:themeColor="text1"/>
          <w:sz w:val="32"/>
          <w:szCs w:val="32"/>
          <w:lang w:eastAsia="zh-CN" w:bidi="ar"/>
          <w14:textFill>
            <w14:solidFill>
              <w14:schemeClr w14:val="tx1"/>
            </w14:solidFill>
          </w14:textFill>
        </w:rPr>
        <w:t>依据的</w:t>
      </w:r>
      <w:r>
        <w:rPr>
          <w:rFonts w:hint="eastAsia" w:ascii="Times New Roman" w:hAnsi="Times New Roman" w:eastAsia="仿宋_GB2312"/>
          <w:color w:val="000000" w:themeColor="text1"/>
          <w:sz w:val="32"/>
          <w:szCs w:val="32"/>
          <w:lang w:bidi="ar"/>
          <w14:textFill>
            <w14:solidFill>
              <w14:schemeClr w14:val="tx1"/>
            </w14:solidFill>
          </w14:textFill>
        </w:rPr>
        <w:t>标准或资料</w:t>
      </w:r>
      <w:r>
        <w:rPr>
          <w:rFonts w:hint="eastAsia" w:ascii="Times New Roman" w:hAnsi="Times New Roman" w:eastAsia="仿宋_GB2312"/>
          <w:color w:val="000000" w:themeColor="text1"/>
          <w:sz w:val="32"/>
          <w:szCs w:val="32"/>
          <w:lang w:eastAsia="zh-CN" w:bidi="ar"/>
          <w14:textFill>
            <w14:solidFill>
              <w14:schemeClr w14:val="tx1"/>
            </w14:solidFill>
          </w14:textFill>
        </w:rPr>
        <w:t>如下</w:t>
      </w:r>
      <w:r>
        <w:rPr>
          <w:rFonts w:hint="eastAsia" w:ascii="Times New Roman" w:hAnsi="Times New Roman" w:eastAsia="仿宋_GB2312"/>
          <w:color w:val="000000" w:themeColor="text1"/>
          <w:sz w:val="32"/>
          <w:szCs w:val="32"/>
          <w:lang w:bidi="ar"/>
          <w14:textFill>
            <w14:solidFill>
              <w14:schemeClr w14:val="tx1"/>
            </w14:solidFill>
          </w14:textFill>
        </w:rPr>
        <w:t>：</w:t>
      </w:r>
    </w:p>
    <w:p w14:paraId="5B2F5332">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olor w:val="000000" w:themeColor="text1"/>
          <w:sz w:val="32"/>
          <w:szCs w:val="32"/>
          <w:lang w:val="en-US" w:eastAsia="zh-CN" w:bidi="ar"/>
          <w14:textFill>
            <w14:solidFill>
              <w14:schemeClr w14:val="tx1"/>
            </w14:solidFill>
          </w14:textFill>
        </w:rPr>
      </w:pPr>
      <w:r>
        <w:rPr>
          <w:rFonts w:hint="eastAsia" w:ascii="Times New Roman" w:hAnsi="Times New Roman" w:eastAsia="仿宋_GB2312"/>
          <w:color w:val="000000" w:themeColor="text1"/>
          <w:sz w:val="32"/>
          <w:szCs w:val="32"/>
          <w:lang w:val="en-US" w:eastAsia="zh-CN" w:bidi="ar"/>
          <w14:textFill>
            <w14:solidFill>
              <w14:schemeClr w14:val="tx1"/>
            </w14:solidFill>
          </w14:textFill>
        </w:rPr>
        <w:t>1.GB/T 1354-2018 大米</w:t>
      </w:r>
    </w:p>
    <w:p w14:paraId="70895212">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olor w:val="000000" w:themeColor="text1"/>
          <w:sz w:val="32"/>
          <w:szCs w:val="32"/>
          <w:lang w:val="en-US" w:eastAsia="zh-CN" w:bidi="ar"/>
          <w14:textFill>
            <w14:solidFill>
              <w14:schemeClr w14:val="tx1"/>
            </w14:solidFill>
          </w14:textFill>
        </w:rPr>
      </w:pPr>
      <w:r>
        <w:rPr>
          <w:rFonts w:hint="eastAsia" w:ascii="Times New Roman" w:hAnsi="Times New Roman" w:eastAsia="仿宋_GB2312"/>
          <w:color w:val="000000" w:themeColor="text1"/>
          <w:sz w:val="32"/>
          <w:szCs w:val="32"/>
          <w:lang w:val="en-US" w:eastAsia="zh-CN" w:bidi="ar"/>
          <w14:textFill>
            <w14:solidFill>
              <w14:schemeClr w14:val="tx1"/>
            </w14:solidFill>
          </w14:textFill>
        </w:rPr>
        <w:t>2.GB/T 5491-1985 粮食、油料检验 扦样、分样法</w:t>
      </w:r>
    </w:p>
    <w:p w14:paraId="4E9C0EBE">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olor w:val="000000" w:themeColor="text1"/>
          <w:sz w:val="32"/>
          <w:szCs w:val="32"/>
          <w:lang w:val="en-US" w:eastAsia="zh-CN" w:bidi="ar"/>
          <w14:textFill>
            <w14:solidFill>
              <w14:schemeClr w14:val="tx1"/>
            </w14:solidFill>
          </w14:textFill>
        </w:rPr>
      </w:pPr>
      <w:r>
        <w:rPr>
          <w:rFonts w:hint="eastAsia" w:ascii="Times New Roman" w:hAnsi="Times New Roman" w:eastAsia="仿宋_GB2312"/>
          <w:color w:val="000000" w:themeColor="text1"/>
          <w:sz w:val="32"/>
          <w:szCs w:val="32"/>
          <w:lang w:val="en-US" w:eastAsia="zh-CN" w:bidi="ar"/>
          <w14:textFill>
            <w14:solidFill>
              <w14:schemeClr w14:val="tx1"/>
            </w14:solidFill>
          </w14:textFill>
        </w:rPr>
        <w:t>3.GB/T 15683-2025 大米 直链淀粉含量的测定</w:t>
      </w:r>
    </w:p>
    <w:p w14:paraId="1F46B37B">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olor w:val="000000" w:themeColor="text1"/>
          <w:sz w:val="32"/>
          <w:szCs w:val="32"/>
          <w:lang w:val="en-US" w:eastAsia="zh-CN" w:bidi="ar"/>
          <w14:textFill>
            <w14:solidFill>
              <w14:schemeClr w14:val="tx1"/>
            </w14:solidFill>
          </w14:textFill>
        </w:rPr>
      </w:pPr>
      <w:r>
        <w:rPr>
          <w:rFonts w:hint="eastAsia" w:ascii="Times New Roman" w:hAnsi="Times New Roman" w:eastAsia="仿宋_GB2312"/>
          <w:color w:val="000000" w:themeColor="text1"/>
          <w:sz w:val="32"/>
          <w:szCs w:val="32"/>
          <w:lang w:val="en-US" w:eastAsia="zh-CN" w:bidi="ar"/>
          <w14:textFill>
            <w14:solidFill>
              <w14:schemeClr w14:val="tx1"/>
            </w14:solidFill>
          </w14:textFill>
        </w:rPr>
        <w:t>4.GB/T 24895-2010 粮油检验 近红外分析定标模型验证和网络管理与维护通用规则</w:t>
      </w:r>
    </w:p>
    <w:p w14:paraId="2A7D3188">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Times New Roman"/>
          <w:color w:val="000000" w:themeColor="text1"/>
          <w:kern w:val="2"/>
          <w:sz w:val="32"/>
          <w:szCs w:val="32"/>
          <w:lang w:val="en-US" w:eastAsia="zh-CN" w:bidi="ar"/>
          <w14:textFill>
            <w14:solidFill>
              <w14:schemeClr w14:val="tx1"/>
            </w14:solidFill>
          </w14:textFill>
        </w:rPr>
      </w:pPr>
      <w:r>
        <w:rPr>
          <w:rFonts w:hint="eastAsia" w:ascii="Times New Roman" w:hAnsi="Times New Roman" w:eastAsia="仿宋_GB2312"/>
          <w:color w:val="000000" w:themeColor="text1"/>
          <w:sz w:val="32"/>
          <w:szCs w:val="32"/>
          <w:lang w:val="en-US" w:eastAsia="zh-CN" w:bidi="ar"/>
          <w14:textFill>
            <w14:solidFill>
              <w14:schemeClr w14:val="tx1"/>
            </w14:solidFill>
          </w14:textFill>
        </w:rPr>
        <w:t>5.</w:t>
      </w:r>
      <w:r>
        <w:rPr>
          <w:rFonts w:hint="eastAsia" w:ascii="Times New Roman" w:hAnsi="Times New Roman" w:eastAsia="仿宋_GB2312" w:cs="Times New Roman"/>
          <w:color w:val="000000" w:themeColor="text1"/>
          <w:kern w:val="2"/>
          <w:sz w:val="32"/>
          <w:szCs w:val="32"/>
          <w:lang w:val="en-US" w:eastAsia="zh-CN" w:bidi="ar"/>
          <w14:textFill>
            <w14:solidFill>
              <w14:schemeClr w14:val="tx1"/>
            </w14:solidFill>
          </w14:textFill>
        </w:rPr>
        <w:t>GB/T 29858-2013分子光谱多元校正定量分析通则</w:t>
      </w:r>
    </w:p>
    <w:p w14:paraId="5BBA0C4C">
      <w:pPr>
        <w:keepNext w:val="0"/>
        <w:keepLines w:val="0"/>
        <w:pageBreakBefore w:val="0"/>
        <w:widowControl w:val="0"/>
        <w:kinsoku/>
        <w:wordWrap/>
        <w:overflowPunct/>
        <w:topLinePunct w:val="0"/>
        <w:bidi w:val="0"/>
        <w:adjustRightInd/>
        <w:snapToGrid/>
        <w:spacing w:line="600" w:lineRule="exact"/>
        <w:ind w:firstLine="640" w:firstLineChars="200"/>
        <w:rPr>
          <w:rFonts w:ascii="Times New Roman" w:hAnsi="Times New Roman" w:eastAsia="仿宋_GB2312"/>
          <w:color w:val="000000" w:themeColor="text1"/>
          <w:sz w:val="32"/>
          <w:szCs w:val="32"/>
          <w:lang w:bidi="ar"/>
          <w14:textFill>
            <w14:solidFill>
              <w14:schemeClr w14:val="tx1"/>
            </w14:solidFill>
          </w14:textFill>
        </w:rPr>
      </w:pPr>
      <w:r>
        <w:rPr>
          <w:rFonts w:hint="eastAsia" w:ascii="Times New Roman" w:hAnsi="Times New Roman" w:eastAsia="仿宋_GB2312"/>
          <w:color w:val="000000" w:themeColor="text1"/>
          <w:sz w:val="32"/>
          <w:szCs w:val="32"/>
          <w:lang w:val="en-US" w:eastAsia="zh-CN" w:bidi="ar"/>
          <w14:textFill>
            <w14:solidFill>
              <w14:schemeClr w14:val="tx1"/>
            </w14:solidFill>
          </w14:textFill>
        </w:rPr>
        <w:t>6</w:t>
      </w:r>
      <w:r>
        <w:rPr>
          <w:rFonts w:ascii="Times New Roman" w:hAnsi="Times New Roman" w:eastAsia="仿宋_GB2312"/>
          <w:color w:val="000000" w:themeColor="text1"/>
          <w:sz w:val="32"/>
          <w:szCs w:val="32"/>
          <w:lang w:bidi="ar"/>
          <w14:textFill>
            <w14:solidFill>
              <w14:schemeClr w14:val="tx1"/>
            </w14:solidFill>
          </w14:textFill>
        </w:rPr>
        <w:t>.</w:t>
      </w:r>
      <w:r>
        <w:rPr>
          <w:rFonts w:hint="eastAsia" w:ascii="Times New Roman" w:hAnsi="Times New Roman" w:eastAsia="仿宋_GB2312"/>
          <w:color w:val="000000" w:themeColor="text1"/>
          <w:sz w:val="32"/>
          <w:szCs w:val="32"/>
          <w:lang w:bidi="ar"/>
          <w14:textFill>
            <w14:solidFill>
              <w14:schemeClr w14:val="tx1"/>
            </w14:solidFill>
          </w14:textFill>
        </w:rPr>
        <w:t xml:space="preserve">GB/T </w:t>
      </w:r>
      <w:r>
        <w:rPr>
          <w:rFonts w:hint="eastAsia" w:ascii="Times New Roman" w:hAnsi="Times New Roman" w:eastAsia="仿宋_GB2312"/>
          <w:color w:val="000000" w:themeColor="text1"/>
          <w:sz w:val="32"/>
          <w:szCs w:val="32"/>
          <w:lang w:val="en-US" w:eastAsia="zh-CN" w:bidi="ar"/>
          <w14:textFill>
            <w14:solidFill>
              <w14:schemeClr w14:val="tx1"/>
            </w14:solidFill>
          </w14:textFill>
        </w:rPr>
        <w:t>18868-2024</w:t>
      </w:r>
      <w:r>
        <w:rPr>
          <w:rFonts w:ascii="Times New Roman" w:hAnsi="Times New Roman" w:eastAsia="仿宋_GB2312"/>
          <w:color w:val="000000" w:themeColor="text1"/>
          <w:sz w:val="32"/>
          <w:szCs w:val="32"/>
          <w:lang w:bidi="ar"/>
          <w14:textFill>
            <w14:solidFill>
              <w14:schemeClr w14:val="tx1"/>
            </w14:solidFill>
          </w14:textFill>
        </w:rPr>
        <w:t xml:space="preserve"> </w:t>
      </w:r>
      <w:r>
        <w:rPr>
          <w:rFonts w:hint="eastAsia" w:ascii="Times New Roman" w:hAnsi="Times New Roman" w:eastAsia="仿宋_GB2312"/>
          <w:color w:val="000000" w:themeColor="text1"/>
          <w:sz w:val="32"/>
          <w:szCs w:val="32"/>
          <w:lang w:eastAsia="zh-CN" w:bidi="ar"/>
          <w14:textFill>
            <w14:solidFill>
              <w14:schemeClr w14:val="tx1"/>
            </w14:solidFill>
          </w14:textFill>
        </w:rPr>
        <w:t>饲料中水分、粗蛋白质、粗纤维、粗脂肪、赖氨酸、蛋氨酸快速测定</w:t>
      </w:r>
      <w:r>
        <w:rPr>
          <w:rFonts w:ascii="Times New Roman" w:hAnsi="Times New Roman" w:eastAsia="仿宋_GB2312"/>
          <w:color w:val="000000" w:themeColor="text1"/>
          <w:sz w:val="32"/>
          <w:szCs w:val="32"/>
          <w:lang w:bidi="ar"/>
          <w14:textFill>
            <w14:solidFill>
              <w14:schemeClr w14:val="tx1"/>
            </w14:solidFill>
          </w14:textFill>
        </w:rPr>
        <w:t xml:space="preserve"> 近红外</w:t>
      </w:r>
      <w:r>
        <w:rPr>
          <w:rFonts w:hint="eastAsia" w:ascii="Times New Roman" w:hAnsi="Times New Roman" w:eastAsia="仿宋_GB2312"/>
          <w:color w:val="000000" w:themeColor="text1"/>
          <w:sz w:val="32"/>
          <w:szCs w:val="32"/>
          <w:lang w:eastAsia="zh-CN" w:bidi="ar"/>
          <w14:textFill>
            <w14:solidFill>
              <w14:schemeClr w14:val="tx1"/>
            </w14:solidFill>
          </w14:textFill>
        </w:rPr>
        <w:t>光谱</w:t>
      </w:r>
      <w:r>
        <w:rPr>
          <w:rFonts w:ascii="Times New Roman" w:hAnsi="Times New Roman" w:eastAsia="仿宋_GB2312"/>
          <w:color w:val="000000" w:themeColor="text1"/>
          <w:sz w:val="32"/>
          <w:szCs w:val="32"/>
          <w:lang w:bidi="ar"/>
          <w14:textFill>
            <w14:solidFill>
              <w14:schemeClr w14:val="tx1"/>
            </w14:solidFill>
          </w14:textFill>
        </w:rPr>
        <w:t>法</w:t>
      </w:r>
    </w:p>
    <w:p w14:paraId="1C0B67BC">
      <w:pPr>
        <w:keepNext w:val="0"/>
        <w:keepLines w:val="0"/>
        <w:pageBreakBefore w:val="0"/>
        <w:widowControl w:val="0"/>
        <w:kinsoku/>
        <w:wordWrap/>
        <w:overflowPunct/>
        <w:topLinePunct w:val="0"/>
        <w:bidi w:val="0"/>
        <w:adjustRightInd/>
        <w:snapToGrid/>
        <w:spacing w:line="600" w:lineRule="exact"/>
        <w:ind w:firstLine="640" w:firstLineChars="200"/>
        <w:rPr>
          <w:rFonts w:ascii="Times New Roman" w:hAnsi="Times New Roman" w:eastAsia="仿宋_GB2312"/>
          <w:color w:val="000000" w:themeColor="text1"/>
          <w:sz w:val="32"/>
          <w:szCs w:val="32"/>
          <w:lang w:bidi="ar"/>
          <w14:textFill>
            <w14:solidFill>
              <w14:schemeClr w14:val="tx1"/>
            </w14:solidFill>
          </w14:textFill>
        </w:rPr>
      </w:pPr>
      <w:r>
        <w:rPr>
          <w:rFonts w:hint="eastAsia" w:ascii="Times New Roman" w:hAnsi="Times New Roman" w:eastAsia="仿宋_GB2312"/>
          <w:color w:val="000000" w:themeColor="text1"/>
          <w:sz w:val="32"/>
          <w:szCs w:val="32"/>
          <w:lang w:val="en-US" w:eastAsia="zh-CN" w:bidi="ar"/>
          <w14:textFill>
            <w14:solidFill>
              <w14:schemeClr w14:val="tx1"/>
            </w14:solidFill>
          </w14:textFill>
        </w:rPr>
        <w:t>7</w:t>
      </w:r>
      <w:r>
        <w:rPr>
          <w:rFonts w:ascii="Times New Roman" w:hAnsi="Times New Roman" w:eastAsia="仿宋_GB2312"/>
          <w:color w:val="000000" w:themeColor="text1"/>
          <w:sz w:val="32"/>
          <w:szCs w:val="32"/>
          <w:lang w:bidi="ar"/>
          <w14:textFill>
            <w14:solidFill>
              <w14:schemeClr w14:val="tx1"/>
            </w14:solidFill>
          </w14:textFill>
        </w:rPr>
        <w:t>.</w:t>
      </w:r>
      <w:r>
        <w:rPr>
          <w:rFonts w:hint="eastAsia" w:ascii="Times New Roman" w:hAnsi="Times New Roman" w:eastAsia="仿宋_GB2312"/>
          <w:color w:val="000000" w:themeColor="text1"/>
          <w:sz w:val="32"/>
          <w:szCs w:val="32"/>
          <w:lang w:bidi="ar"/>
          <w14:textFill>
            <w14:solidFill>
              <w14:schemeClr w14:val="tx1"/>
            </w14:solidFill>
          </w14:textFill>
        </w:rPr>
        <w:t>GB/T 41366-2022</w:t>
      </w:r>
      <w:r>
        <w:rPr>
          <w:rFonts w:ascii="Times New Roman" w:hAnsi="Times New Roman" w:eastAsia="仿宋_GB2312"/>
          <w:color w:val="000000" w:themeColor="text1"/>
          <w:sz w:val="32"/>
          <w:szCs w:val="32"/>
          <w:lang w:bidi="ar"/>
          <w14:textFill>
            <w14:solidFill>
              <w14:schemeClr w14:val="tx1"/>
            </w14:solidFill>
          </w14:textFill>
        </w:rPr>
        <w:t xml:space="preserve"> 畜禽肉品质检测 水分、蛋白质、脂肪含量的测定 近红外法</w:t>
      </w:r>
    </w:p>
    <w:p w14:paraId="23C50E67">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olor w:val="000000" w:themeColor="text1"/>
          <w:sz w:val="32"/>
          <w:szCs w:val="32"/>
          <w:lang w:val="en-US" w:eastAsia="zh-CN" w:bidi="ar"/>
          <w14:textFill>
            <w14:solidFill>
              <w14:schemeClr w14:val="tx1"/>
            </w14:solidFill>
          </w14:textFill>
        </w:rPr>
      </w:pPr>
      <w:r>
        <w:rPr>
          <w:rFonts w:hint="eastAsia" w:ascii="Times New Roman" w:hAnsi="Times New Roman" w:eastAsia="仿宋_GB2312"/>
          <w:color w:val="000000" w:themeColor="text1"/>
          <w:sz w:val="32"/>
          <w:szCs w:val="32"/>
          <w:lang w:val="en-US" w:eastAsia="zh-CN" w:bidi="ar"/>
          <w14:textFill>
            <w14:solidFill>
              <w14:schemeClr w14:val="tx1"/>
            </w14:solidFill>
          </w14:textFill>
        </w:rPr>
        <w:t>8</w:t>
      </w:r>
      <w:r>
        <w:rPr>
          <w:rFonts w:ascii="Times New Roman" w:hAnsi="Times New Roman" w:eastAsia="仿宋_GB2312"/>
          <w:color w:val="000000" w:themeColor="text1"/>
          <w:sz w:val="32"/>
          <w:szCs w:val="32"/>
          <w:lang w:bidi="ar"/>
          <w14:textFill>
            <w14:solidFill>
              <w14:schemeClr w14:val="tx1"/>
            </w14:solidFill>
          </w14:textFill>
        </w:rPr>
        <w:t>.</w:t>
      </w:r>
      <w:r>
        <w:rPr>
          <w:rFonts w:hint="eastAsia" w:ascii="Times New Roman" w:hAnsi="Times New Roman" w:eastAsia="仿宋_GB2312"/>
          <w:color w:val="000000" w:themeColor="text1"/>
          <w:sz w:val="32"/>
          <w:szCs w:val="32"/>
          <w:lang w:bidi="ar"/>
          <w14:textFill>
            <w14:solidFill>
              <w14:schemeClr w14:val="tx1"/>
            </w14:solidFill>
          </w14:textFill>
        </w:rPr>
        <w:t>GB/T 2</w:t>
      </w:r>
      <w:r>
        <w:rPr>
          <w:rFonts w:hint="eastAsia" w:ascii="Times New Roman" w:hAnsi="Times New Roman" w:eastAsia="仿宋_GB2312"/>
          <w:color w:val="000000" w:themeColor="text1"/>
          <w:sz w:val="32"/>
          <w:szCs w:val="32"/>
          <w:lang w:val="en-US" w:eastAsia="zh-CN" w:bidi="ar"/>
          <w14:textFill>
            <w14:solidFill>
              <w14:schemeClr w14:val="tx1"/>
            </w14:solidFill>
          </w14:textFill>
        </w:rPr>
        <w:t>5219</w:t>
      </w:r>
      <w:r>
        <w:rPr>
          <w:rFonts w:hint="eastAsia" w:ascii="Times New Roman" w:hAnsi="Times New Roman" w:eastAsia="仿宋_GB2312"/>
          <w:color w:val="000000" w:themeColor="text1"/>
          <w:sz w:val="32"/>
          <w:szCs w:val="32"/>
          <w:lang w:bidi="ar"/>
          <w14:textFill>
            <w14:solidFill>
              <w14:schemeClr w14:val="tx1"/>
            </w14:solidFill>
          </w14:textFill>
        </w:rPr>
        <w:t>-2010</w:t>
      </w:r>
      <w:r>
        <w:rPr>
          <w:rFonts w:ascii="Times New Roman" w:hAnsi="Times New Roman" w:eastAsia="仿宋_GB2312"/>
          <w:color w:val="000000" w:themeColor="text1"/>
          <w:sz w:val="32"/>
          <w:szCs w:val="32"/>
          <w:lang w:bidi="ar"/>
          <w14:textFill>
            <w14:solidFill>
              <w14:schemeClr w14:val="tx1"/>
            </w14:solidFill>
          </w14:textFill>
        </w:rPr>
        <w:t xml:space="preserve"> 粮油检验 玉米</w:t>
      </w:r>
      <w:r>
        <w:rPr>
          <w:rFonts w:hint="eastAsia" w:ascii="Times New Roman" w:hAnsi="Times New Roman" w:eastAsia="仿宋_GB2312"/>
          <w:color w:val="000000" w:themeColor="text1"/>
          <w:sz w:val="32"/>
          <w:szCs w:val="32"/>
          <w:lang w:eastAsia="zh-CN" w:bidi="ar"/>
          <w14:textFill>
            <w14:solidFill>
              <w14:schemeClr w14:val="tx1"/>
            </w14:solidFill>
          </w14:textFill>
        </w:rPr>
        <w:t>淀粉</w:t>
      </w:r>
      <w:r>
        <w:rPr>
          <w:rFonts w:ascii="Times New Roman" w:hAnsi="Times New Roman" w:eastAsia="仿宋_GB2312"/>
          <w:color w:val="000000" w:themeColor="text1"/>
          <w:sz w:val="32"/>
          <w:szCs w:val="32"/>
          <w:lang w:bidi="ar"/>
          <w14:textFill>
            <w14:solidFill>
              <w14:schemeClr w14:val="tx1"/>
            </w14:solidFill>
          </w14:textFill>
        </w:rPr>
        <w:t>含量测定</w:t>
      </w:r>
      <w:r>
        <w:rPr>
          <w:rFonts w:hint="eastAsia" w:ascii="Times New Roman" w:hAnsi="Times New Roman" w:eastAsia="仿宋_GB2312"/>
          <w:color w:val="000000" w:themeColor="text1"/>
          <w:sz w:val="32"/>
          <w:szCs w:val="32"/>
          <w:lang w:val="en-US" w:eastAsia="zh-CN" w:bidi="ar"/>
          <w14:textFill>
            <w14:solidFill>
              <w14:schemeClr w14:val="tx1"/>
            </w14:solidFill>
          </w14:textFill>
        </w:rPr>
        <w:t xml:space="preserve"> 近红外法</w:t>
      </w:r>
    </w:p>
    <w:p w14:paraId="5852FDF9">
      <w:pPr>
        <w:keepNext w:val="0"/>
        <w:keepLines w:val="0"/>
        <w:pageBreakBefore w:val="0"/>
        <w:widowControl w:val="0"/>
        <w:kinsoku/>
        <w:wordWrap/>
        <w:overflowPunct/>
        <w:topLinePunct w:val="0"/>
        <w:bidi w:val="0"/>
        <w:adjustRightInd/>
        <w:snapToGrid/>
        <w:spacing w:line="600" w:lineRule="exact"/>
        <w:ind w:firstLine="640" w:firstLineChars="200"/>
        <w:rPr>
          <w:rFonts w:hint="default" w:ascii="Times New Roman" w:hAnsi="Times New Roman" w:eastAsia="仿宋_GB2312"/>
          <w:color w:val="000000" w:themeColor="text1"/>
          <w:sz w:val="32"/>
          <w:szCs w:val="32"/>
          <w:lang w:val="en-US" w:eastAsia="zh-CN" w:bidi="ar"/>
          <w14:textFill>
            <w14:solidFill>
              <w14:schemeClr w14:val="tx1"/>
            </w14:solidFill>
          </w14:textFill>
        </w:rPr>
      </w:pPr>
      <w:r>
        <w:rPr>
          <w:rFonts w:hint="eastAsia" w:ascii="Times New Roman" w:hAnsi="Times New Roman" w:eastAsia="仿宋_GB2312"/>
          <w:color w:val="000000" w:themeColor="text1"/>
          <w:sz w:val="32"/>
          <w:szCs w:val="32"/>
          <w:lang w:val="en-US" w:eastAsia="zh-CN" w:bidi="ar"/>
          <w14:textFill>
            <w14:solidFill>
              <w14:schemeClr w14:val="tx1"/>
            </w14:solidFill>
          </w14:textFill>
        </w:rPr>
        <w:t>9.《近红外光谱分析技术实用手册》</w:t>
      </w:r>
    </w:p>
    <w:p w14:paraId="3672C33F">
      <w:pPr>
        <w:keepNext w:val="0"/>
        <w:keepLines w:val="0"/>
        <w:pageBreakBefore w:val="0"/>
        <w:widowControl w:val="0"/>
        <w:kinsoku/>
        <w:wordWrap/>
        <w:overflowPunct/>
        <w:topLinePunct w:val="0"/>
        <w:bidi w:val="0"/>
        <w:adjustRightInd/>
        <w:snapToGrid/>
        <w:spacing w:line="600" w:lineRule="exact"/>
        <w:ind w:firstLine="643" w:firstLineChars="200"/>
        <w:rPr>
          <w:rFonts w:ascii="Times New Roman" w:hAnsi="Times New Roman" w:eastAsia="楷体_GB2312" w:cs="楷体_GB2312"/>
          <w:b/>
          <w:bCs/>
          <w:color w:val="000000" w:themeColor="text1"/>
          <w:sz w:val="32"/>
          <w:szCs w:val="32"/>
          <w14:textFill>
            <w14:solidFill>
              <w14:schemeClr w14:val="tx1"/>
            </w14:solidFill>
          </w14:textFill>
        </w:rPr>
      </w:pPr>
      <w:r>
        <w:rPr>
          <w:rFonts w:hint="eastAsia" w:ascii="Times New Roman" w:hAnsi="Times New Roman" w:eastAsia="楷体_GB2312" w:cs="楷体_GB2312"/>
          <w:b/>
          <w:bCs/>
          <w:color w:val="000000" w:themeColor="text1"/>
          <w:sz w:val="32"/>
          <w:szCs w:val="32"/>
          <w14:textFill>
            <w14:solidFill>
              <w14:schemeClr w14:val="tx1"/>
            </w14:solidFill>
          </w14:textFill>
        </w:rPr>
        <w:t>（三）其他参考资料</w:t>
      </w:r>
    </w:p>
    <w:p w14:paraId="503DF124">
      <w:pPr>
        <w:keepNext w:val="0"/>
        <w:keepLines w:val="0"/>
        <w:pageBreakBefore w:val="0"/>
        <w:widowControl w:val="0"/>
        <w:kinsoku/>
        <w:wordWrap/>
        <w:overflowPunct/>
        <w:topLinePunct w:val="0"/>
        <w:bidi w:val="0"/>
        <w:adjustRightInd/>
        <w:snapToGrid/>
        <w:spacing w:line="600" w:lineRule="exact"/>
        <w:ind w:firstLine="640" w:firstLineChars="200"/>
        <w:rPr>
          <w:rFonts w:ascii="Times New Roman" w:hAnsi="Times New Roman" w:eastAsia="仿宋_GB2312" w:cs="仿宋_GB2312"/>
          <w:color w:val="000000" w:themeColor="text1"/>
          <w:sz w:val="32"/>
          <w:szCs w:val="32"/>
          <w:lang w:bidi="ar"/>
          <w14:textFill>
            <w14:solidFill>
              <w14:schemeClr w14:val="tx1"/>
            </w14:solidFill>
          </w14:textFill>
        </w:rPr>
      </w:pPr>
      <w:r>
        <w:rPr>
          <w:rFonts w:hint="eastAsia" w:ascii="Times New Roman" w:hAnsi="Times New Roman" w:eastAsia="仿宋_GB2312" w:cs="仿宋_GB2312"/>
          <w:color w:val="000000" w:themeColor="text1"/>
          <w:sz w:val="32"/>
          <w:szCs w:val="32"/>
          <w:lang w:bidi="ar"/>
          <w14:textFill>
            <w14:solidFill>
              <w14:schemeClr w14:val="tx1"/>
            </w14:solidFill>
          </w14:textFill>
        </w:rPr>
        <w:t>本标准起草过程中，</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还</w:t>
      </w:r>
      <w:r>
        <w:rPr>
          <w:rFonts w:ascii="Times New Roman" w:hAnsi="Times New Roman" w:eastAsia="仿宋_GB2312" w:cs="仿宋_GB2312"/>
          <w:color w:val="000000" w:themeColor="text1"/>
          <w:sz w:val="32"/>
          <w:szCs w:val="32"/>
          <w:lang w:bidi="ar"/>
          <w14:textFill>
            <w14:solidFill>
              <w14:schemeClr w14:val="tx1"/>
            </w14:solidFill>
          </w14:textFill>
        </w:rPr>
        <w:t>参考了以下标准或文件：</w:t>
      </w:r>
    </w:p>
    <w:p w14:paraId="6F54D401">
      <w:pPr>
        <w:keepNext w:val="0"/>
        <w:keepLines w:val="0"/>
        <w:pageBreakBefore w:val="0"/>
        <w:widowControl w:val="0"/>
        <w:kinsoku/>
        <w:wordWrap/>
        <w:overflowPunct/>
        <w:topLinePunct w:val="0"/>
        <w:bidi w:val="0"/>
        <w:adjustRightInd/>
        <w:snapToGrid/>
        <w:spacing w:line="600" w:lineRule="exact"/>
        <w:ind w:firstLine="640" w:firstLineChars="200"/>
        <w:rPr>
          <w:rFonts w:ascii="Times New Roman" w:hAnsi="Times New Roman" w:eastAsia="仿宋_GB2312" w:cs="仿宋_GB2312"/>
          <w:color w:val="000000" w:themeColor="text1"/>
          <w:sz w:val="32"/>
          <w:szCs w:val="32"/>
          <w:lang w:bidi="ar"/>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1</w:t>
      </w:r>
      <w:r>
        <w:rPr>
          <w:rFonts w:ascii="Times New Roman" w:hAnsi="Times New Roman" w:eastAsia="仿宋_GB2312" w:cs="仿宋_GB2312"/>
          <w:color w:val="000000" w:themeColor="text1"/>
          <w:sz w:val="32"/>
          <w:szCs w:val="32"/>
          <w:lang w:bidi="ar"/>
          <w14:textFill>
            <w14:solidFill>
              <w14:schemeClr w14:val="tx1"/>
            </w14:solidFill>
          </w14:textFill>
        </w:rPr>
        <w:t>.</w:t>
      </w:r>
      <w:r>
        <w:rPr>
          <w:rFonts w:hint="eastAsia" w:ascii="Times New Roman" w:hAnsi="Times New Roman" w:eastAsia="仿宋_GB2312"/>
          <w:color w:val="000000" w:themeColor="text1"/>
          <w:sz w:val="32"/>
          <w:szCs w:val="32"/>
          <w14:textFill>
            <w14:solidFill>
              <w14:schemeClr w14:val="tx1"/>
            </w14:solidFill>
          </w14:textFill>
        </w:rPr>
        <w:t>GB/T 29858-2013</w:t>
      </w:r>
      <w:r>
        <w:rPr>
          <w:rFonts w:ascii="Times New Roman" w:hAnsi="Times New Roman" w:eastAsia="仿宋_GB2312" w:cs="仿宋_GB2312"/>
          <w:color w:val="000000" w:themeColor="text1"/>
          <w:sz w:val="32"/>
          <w:szCs w:val="32"/>
          <w:lang w:bidi="ar"/>
          <w14:textFill>
            <w14:solidFill>
              <w14:schemeClr w14:val="tx1"/>
            </w14:solidFill>
          </w14:textFill>
        </w:rPr>
        <w:t xml:space="preserve"> 分子光谱多元校正定量分析通则</w:t>
      </w:r>
    </w:p>
    <w:p w14:paraId="0E0C218A">
      <w:pPr>
        <w:keepNext w:val="0"/>
        <w:keepLines w:val="0"/>
        <w:pageBreakBefore w:val="0"/>
        <w:widowControl w:val="0"/>
        <w:kinsoku/>
        <w:wordWrap/>
        <w:overflowPunct/>
        <w:topLinePunct w:val="0"/>
        <w:bidi w:val="0"/>
        <w:adjustRightInd/>
        <w:snapToGrid/>
        <w:spacing w:line="600" w:lineRule="exact"/>
        <w:ind w:firstLine="640" w:firstLineChars="200"/>
        <w:rPr>
          <w:rFonts w:ascii="Times New Roman" w:hAnsi="Times New Roman" w:eastAsia="仿宋_GB2312" w:cs="仿宋_GB2312"/>
          <w:color w:val="000000" w:themeColor="text1"/>
          <w:sz w:val="32"/>
          <w:szCs w:val="32"/>
          <w:lang w:bidi="ar"/>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2</w:t>
      </w:r>
      <w:r>
        <w:rPr>
          <w:rFonts w:ascii="Times New Roman" w:hAnsi="Times New Roman" w:eastAsia="仿宋_GB2312" w:cs="仿宋_GB2312"/>
          <w:color w:val="000000" w:themeColor="text1"/>
          <w:sz w:val="32"/>
          <w:szCs w:val="32"/>
          <w:lang w:bidi="ar"/>
          <w14:textFill>
            <w14:solidFill>
              <w14:schemeClr w14:val="tx1"/>
            </w14:solidFill>
          </w14:textFill>
        </w:rPr>
        <w:t>.</w:t>
      </w:r>
      <w:r>
        <w:rPr>
          <w:rFonts w:hint="eastAsia" w:ascii="Times New Roman" w:hAnsi="Times New Roman" w:eastAsia="仿宋_GB2312"/>
          <w:color w:val="000000" w:themeColor="text1"/>
          <w:sz w:val="32"/>
          <w:szCs w:val="32"/>
          <w14:textFill>
            <w14:solidFill>
              <w14:schemeClr w14:val="tx1"/>
            </w14:solidFill>
          </w14:textFill>
        </w:rPr>
        <w:t>GB/T 32198-2015</w:t>
      </w:r>
      <w:r>
        <w:rPr>
          <w:rFonts w:ascii="Times New Roman" w:hAnsi="Times New Roman" w:eastAsia="仿宋_GB2312" w:cs="仿宋_GB2312"/>
          <w:color w:val="000000" w:themeColor="text1"/>
          <w:sz w:val="32"/>
          <w:szCs w:val="32"/>
          <w:lang w:bidi="ar"/>
          <w14:textFill>
            <w14:solidFill>
              <w14:schemeClr w14:val="tx1"/>
            </w14:solidFill>
          </w14:textFill>
        </w:rPr>
        <w:t xml:space="preserve"> 红外光谱定量分析技术通则</w:t>
      </w:r>
    </w:p>
    <w:p w14:paraId="5B3862F3">
      <w:pPr>
        <w:keepNext w:val="0"/>
        <w:keepLines w:val="0"/>
        <w:pageBreakBefore w:val="0"/>
        <w:widowControl w:val="0"/>
        <w:kinsoku/>
        <w:wordWrap/>
        <w:overflowPunct/>
        <w:topLinePunct w:val="0"/>
        <w:bidi w:val="0"/>
        <w:adjustRightInd/>
        <w:snapToGrid/>
        <w:spacing w:line="600" w:lineRule="exact"/>
        <w:ind w:firstLine="640" w:firstLineChars="200"/>
        <w:rPr>
          <w:rFonts w:ascii="Times New Roman" w:hAnsi="Times New Roman" w:eastAsia="仿宋_GB2312" w:cs="仿宋_GB2312"/>
          <w:color w:val="000000" w:themeColor="text1"/>
          <w:sz w:val="32"/>
          <w:szCs w:val="32"/>
          <w:lang w:bidi="ar"/>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3</w:t>
      </w:r>
      <w:r>
        <w:rPr>
          <w:rFonts w:ascii="Times New Roman" w:hAnsi="Times New Roman" w:eastAsia="仿宋_GB2312" w:cs="仿宋_GB2312"/>
          <w:color w:val="000000" w:themeColor="text1"/>
          <w:sz w:val="32"/>
          <w:szCs w:val="32"/>
          <w:lang w:bidi="ar"/>
          <w14:textFill>
            <w14:solidFill>
              <w14:schemeClr w14:val="tx1"/>
            </w14:solidFill>
          </w14:textFill>
        </w:rPr>
        <w:t>.</w:t>
      </w:r>
      <w:r>
        <w:rPr>
          <w:rFonts w:hint="eastAsia" w:ascii="Times New Roman" w:hAnsi="Times New Roman" w:eastAsia="仿宋_GB2312"/>
          <w:color w:val="000000" w:themeColor="text1"/>
          <w:sz w:val="32"/>
          <w:szCs w:val="32"/>
          <w14:textFill>
            <w14:solidFill>
              <w14:schemeClr w14:val="tx1"/>
            </w14:solidFill>
          </w14:textFill>
        </w:rPr>
        <w:t>DB21/T 2048-2012</w:t>
      </w:r>
      <w:r>
        <w:rPr>
          <w:rFonts w:ascii="Times New Roman" w:hAnsi="Times New Roman" w:eastAsia="仿宋_GB2312" w:cs="仿宋_GB2312"/>
          <w:color w:val="000000" w:themeColor="text1"/>
          <w:sz w:val="32"/>
          <w:szCs w:val="32"/>
          <w:lang w:bidi="ar"/>
          <w14:textFill>
            <w14:solidFill>
              <w14:schemeClr w14:val="tx1"/>
            </w14:solidFill>
          </w14:textFill>
        </w:rPr>
        <w:t xml:space="preserve"> 饲料中粗蛋白、粗脂肪、粗纤维、水分、钙、总磷、粗灰分、水溶性氯化物、氨基酸的测定 近红外光谱法</w:t>
      </w:r>
    </w:p>
    <w:p w14:paraId="45F3AF86">
      <w:pPr>
        <w:keepNext w:val="0"/>
        <w:keepLines w:val="0"/>
        <w:pageBreakBefore w:val="0"/>
        <w:widowControl w:val="0"/>
        <w:kinsoku/>
        <w:wordWrap/>
        <w:overflowPunct/>
        <w:topLinePunct w:val="0"/>
        <w:bidi w:val="0"/>
        <w:adjustRightInd/>
        <w:snapToGrid/>
        <w:spacing w:line="600" w:lineRule="exact"/>
        <w:ind w:firstLine="640" w:firstLineChars="200"/>
        <w:rPr>
          <w:rFonts w:ascii="Times New Roman" w:hAnsi="Times New Roman" w:eastAsia="仿宋_GB2312" w:cs="仿宋_GB2312"/>
          <w:color w:val="000000" w:themeColor="text1"/>
          <w:sz w:val="32"/>
          <w:szCs w:val="32"/>
          <w:lang w:bidi="ar"/>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4</w:t>
      </w:r>
      <w:r>
        <w:rPr>
          <w:rFonts w:ascii="Times New Roman" w:hAnsi="Times New Roman" w:eastAsia="仿宋_GB2312" w:cs="仿宋_GB2312"/>
          <w:color w:val="000000" w:themeColor="text1"/>
          <w:sz w:val="32"/>
          <w:szCs w:val="32"/>
          <w:lang w:bidi="ar"/>
          <w14:textFill>
            <w14:solidFill>
              <w14:schemeClr w14:val="tx1"/>
            </w14:solidFill>
          </w14:textFill>
        </w:rPr>
        <w:t>.</w:t>
      </w:r>
      <w:r>
        <w:rPr>
          <w:rFonts w:hint="eastAsia" w:ascii="Times New Roman" w:hAnsi="Times New Roman" w:eastAsia="仿宋_GB2312"/>
          <w:color w:val="000000" w:themeColor="text1"/>
          <w:sz w:val="32"/>
          <w:szCs w:val="32"/>
          <w14:textFill>
            <w14:solidFill>
              <w14:schemeClr w14:val="tx1"/>
            </w14:solidFill>
          </w14:textFill>
        </w:rPr>
        <w:t>DB36/T 1127-2019</w:t>
      </w:r>
      <w:r>
        <w:rPr>
          <w:rFonts w:ascii="Times New Roman" w:hAnsi="Times New Roman" w:eastAsia="仿宋_GB2312" w:cs="仿宋_GB2312"/>
          <w:color w:val="000000" w:themeColor="text1"/>
          <w:sz w:val="32"/>
          <w:szCs w:val="32"/>
          <w:lang w:bidi="ar"/>
          <w14:textFill>
            <w14:solidFill>
              <w14:schemeClr w14:val="tx1"/>
            </w14:solidFill>
          </w14:textFill>
        </w:rPr>
        <w:t xml:space="preserve"> 饲料中粗灰分、钙、总磷和</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氯化钠</w:t>
      </w:r>
      <w:r>
        <w:rPr>
          <w:rFonts w:ascii="Times New Roman" w:hAnsi="Times New Roman" w:eastAsia="仿宋_GB2312" w:cs="仿宋_GB2312"/>
          <w:color w:val="000000" w:themeColor="text1"/>
          <w:sz w:val="32"/>
          <w:szCs w:val="32"/>
          <w:lang w:bidi="ar"/>
          <w14:textFill>
            <w14:solidFill>
              <w14:schemeClr w14:val="tx1"/>
            </w14:solidFill>
          </w14:textFill>
        </w:rPr>
        <w:t>快速测定 近红外光谱法</w:t>
      </w:r>
    </w:p>
    <w:p w14:paraId="6EA84B3E">
      <w:pPr>
        <w:keepNext w:val="0"/>
        <w:keepLines w:val="0"/>
        <w:pageBreakBefore w:val="0"/>
        <w:widowControl w:val="0"/>
        <w:kinsoku/>
        <w:wordWrap/>
        <w:overflowPunct/>
        <w:topLinePunct w:val="0"/>
        <w:bidi w:val="0"/>
        <w:adjustRightInd/>
        <w:snapToGrid/>
        <w:spacing w:line="600" w:lineRule="exact"/>
        <w:ind w:firstLine="640" w:firstLineChars="200"/>
        <w:rPr>
          <w:rFonts w:ascii="Times New Roman" w:hAnsi="Times New Roman" w:eastAsia="仿宋_GB2312" w:cs="仿宋_GB2312"/>
          <w:color w:val="000000" w:themeColor="text1"/>
          <w:sz w:val="32"/>
          <w:szCs w:val="32"/>
          <w:lang w:bidi="ar"/>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5</w:t>
      </w:r>
      <w:r>
        <w:rPr>
          <w:rFonts w:ascii="Times New Roman" w:hAnsi="Times New Roman" w:eastAsia="仿宋_GB2312" w:cs="仿宋_GB2312"/>
          <w:color w:val="000000" w:themeColor="text1"/>
          <w:sz w:val="32"/>
          <w:szCs w:val="32"/>
          <w:lang w:bidi="ar"/>
          <w14:textFill>
            <w14:solidFill>
              <w14:schemeClr w14:val="tx1"/>
            </w14:solidFill>
          </w14:textFill>
        </w:rPr>
        <w:t>.</w:t>
      </w:r>
      <w:r>
        <w:rPr>
          <w:rFonts w:hint="eastAsia" w:ascii="Times New Roman" w:hAnsi="Times New Roman" w:eastAsia="仿宋_GB2312"/>
          <w:color w:val="000000" w:themeColor="text1"/>
          <w:sz w:val="32"/>
          <w:szCs w:val="32"/>
          <w14:textFill>
            <w14:solidFill>
              <w14:schemeClr w14:val="tx1"/>
            </w14:solidFill>
          </w14:textFill>
        </w:rPr>
        <w:t>GB/T 2</w:t>
      </w:r>
      <w:r>
        <w:rPr>
          <w:rFonts w:hint="eastAsia" w:ascii="Times New Roman" w:hAnsi="Times New Roman" w:eastAsia="仿宋_GB2312"/>
          <w:color w:val="000000" w:themeColor="text1"/>
          <w:sz w:val="32"/>
          <w:szCs w:val="32"/>
          <w:lang w:val="en-US" w:eastAsia="zh-CN"/>
          <w14:textFill>
            <w14:solidFill>
              <w14:schemeClr w14:val="tx1"/>
            </w14:solidFill>
          </w14:textFill>
        </w:rPr>
        <w:t>5219</w:t>
      </w:r>
      <w:r>
        <w:rPr>
          <w:rFonts w:hint="eastAsia" w:ascii="Times New Roman" w:hAnsi="Times New Roman" w:eastAsia="仿宋_GB2312"/>
          <w:color w:val="000000" w:themeColor="text1"/>
          <w:sz w:val="32"/>
          <w:szCs w:val="32"/>
          <w14:textFill>
            <w14:solidFill>
              <w14:schemeClr w14:val="tx1"/>
            </w14:solidFill>
          </w14:textFill>
        </w:rPr>
        <w:t>-2010</w:t>
      </w:r>
      <w:r>
        <w:rPr>
          <w:rFonts w:ascii="Times New Roman" w:hAnsi="Times New Roman" w:eastAsia="仿宋_GB2312" w:cs="仿宋_GB2312"/>
          <w:color w:val="000000" w:themeColor="text1"/>
          <w:sz w:val="32"/>
          <w:szCs w:val="32"/>
          <w:lang w:bidi="ar"/>
          <w14:textFill>
            <w14:solidFill>
              <w14:schemeClr w14:val="tx1"/>
            </w14:solidFill>
          </w14:textFill>
        </w:rPr>
        <w:t xml:space="preserve"> 粮油检验 玉米</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淀粉</w:t>
      </w:r>
      <w:r>
        <w:rPr>
          <w:rFonts w:ascii="Times New Roman" w:hAnsi="Times New Roman" w:eastAsia="仿宋_GB2312" w:cs="仿宋_GB2312"/>
          <w:color w:val="000000" w:themeColor="text1"/>
          <w:sz w:val="32"/>
          <w:szCs w:val="32"/>
          <w:lang w:bidi="ar"/>
          <w14:textFill>
            <w14:solidFill>
              <w14:schemeClr w14:val="tx1"/>
            </w14:solidFill>
          </w14:textFill>
        </w:rPr>
        <w:t>含量测定 近红外法</w:t>
      </w:r>
    </w:p>
    <w:p w14:paraId="7AF27181">
      <w:pPr>
        <w:keepNext w:val="0"/>
        <w:keepLines w:val="0"/>
        <w:pageBreakBefore w:val="0"/>
        <w:widowControl w:val="0"/>
        <w:kinsoku/>
        <w:wordWrap/>
        <w:overflowPunct/>
        <w:topLinePunct w:val="0"/>
        <w:bidi w:val="0"/>
        <w:adjustRightInd/>
        <w:snapToGrid/>
        <w:spacing w:line="600" w:lineRule="exact"/>
        <w:ind w:firstLine="640" w:firstLineChars="200"/>
        <w:rPr>
          <w:rFonts w:ascii="Times New Roman" w:hAnsi="Times New Roman" w:eastAsia="仿宋_GB2312" w:cs="仿宋_GB2312"/>
          <w:color w:val="000000" w:themeColor="text1"/>
          <w:sz w:val="32"/>
          <w:szCs w:val="32"/>
          <w:lang w:bidi="ar"/>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6</w:t>
      </w:r>
      <w:r>
        <w:rPr>
          <w:rFonts w:ascii="Times New Roman" w:hAnsi="Times New Roman" w:eastAsia="仿宋_GB2312" w:cs="仿宋_GB2312"/>
          <w:color w:val="000000" w:themeColor="text1"/>
          <w:sz w:val="32"/>
          <w:szCs w:val="32"/>
          <w14:textFill>
            <w14:solidFill>
              <w14:schemeClr w14:val="tx1"/>
            </w14:solidFill>
          </w14:textFill>
        </w:rPr>
        <w:t>.</w:t>
      </w:r>
      <w:r>
        <w:rPr>
          <w:rFonts w:ascii="Times New Roman" w:hAnsi="Times New Roman" w:eastAsia="仿宋_GB2312"/>
          <w:color w:val="000000" w:themeColor="text1"/>
          <w:sz w:val="32"/>
          <w:szCs w:val="32"/>
          <w:lang w:bidi="ar"/>
          <w14:textFill>
            <w14:solidFill>
              <w14:schemeClr w14:val="tx1"/>
            </w14:solidFill>
          </w14:textFill>
        </w:rPr>
        <w:t>GB/T 40467</w:t>
      </w:r>
      <w:r>
        <w:rPr>
          <w:rFonts w:hint="eastAsia" w:ascii="Times New Roman" w:hAnsi="Times New Roman" w:eastAsia="仿宋_GB2312"/>
          <w:color w:val="000000" w:themeColor="text1"/>
          <w:sz w:val="32"/>
          <w:szCs w:val="32"/>
          <w:lang w:val="en-US" w:eastAsia="zh-CN" w:bidi="ar"/>
          <w14:textFill>
            <w14:solidFill>
              <w14:schemeClr w14:val="tx1"/>
            </w14:solidFill>
          </w14:textFill>
        </w:rPr>
        <w:t>-2021</w:t>
      </w:r>
      <w:r>
        <w:rPr>
          <w:rFonts w:ascii="Times New Roman" w:hAnsi="Times New Roman" w:eastAsia="仿宋_GB2312" w:cs="仿宋_GB2312"/>
          <w:color w:val="000000" w:themeColor="text1"/>
          <w:sz w:val="32"/>
          <w:szCs w:val="32"/>
          <w:lang w:bidi="ar"/>
          <w14:textFill>
            <w14:solidFill>
              <w14:schemeClr w14:val="tx1"/>
            </w14:solidFill>
          </w14:textFill>
        </w:rPr>
        <w:t xml:space="preserve"> 畜禽肉品质检测 近红外法通则</w:t>
      </w:r>
    </w:p>
    <w:p w14:paraId="2A882028">
      <w:pPr>
        <w:keepNext w:val="0"/>
        <w:keepLines w:val="0"/>
        <w:pageBreakBefore w:val="0"/>
        <w:widowControl w:val="0"/>
        <w:kinsoku/>
        <w:wordWrap/>
        <w:overflowPunct/>
        <w:topLinePunct w:val="0"/>
        <w:bidi w:val="0"/>
        <w:adjustRightInd/>
        <w:snapToGrid/>
        <w:spacing w:line="600" w:lineRule="exact"/>
        <w:ind w:firstLine="643" w:firstLineChars="200"/>
        <w:jc w:val="left"/>
        <w:rPr>
          <w:rFonts w:ascii="Times New Roman" w:hAnsi="Times New Roman" w:eastAsia="黑体" w:cs="黑体"/>
          <w:b/>
          <w:bCs/>
          <w:color w:val="000000" w:themeColor="text1"/>
          <w:sz w:val="32"/>
          <w:szCs w:val="32"/>
          <w:lang w:bidi="ar"/>
          <w14:textFill>
            <w14:solidFill>
              <w14:schemeClr w14:val="tx1"/>
            </w14:solidFill>
          </w14:textFill>
        </w:rPr>
      </w:pPr>
      <w:r>
        <w:rPr>
          <w:rFonts w:hint="eastAsia" w:ascii="Times New Roman" w:hAnsi="Times New Roman" w:eastAsia="黑体" w:cs="黑体"/>
          <w:b/>
          <w:bCs/>
          <w:color w:val="000000" w:themeColor="text1"/>
          <w:sz w:val="32"/>
          <w:szCs w:val="32"/>
          <w:lang w:bidi="ar"/>
          <w14:textFill>
            <w14:solidFill>
              <w14:schemeClr w14:val="tx1"/>
            </w14:solidFill>
          </w14:textFill>
        </w:rPr>
        <w:t>五、主要章、条确定的原则</w:t>
      </w:r>
    </w:p>
    <w:p w14:paraId="4E0E3EA1">
      <w:pPr>
        <w:keepNext w:val="0"/>
        <w:keepLines w:val="0"/>
        <w:pageBreakBefore w:val="0"/>
        <w:widowControl w:val="0"/>
        <w:kinsoku/>
        <w:wordWrap/>
        <w:overflowPunct/>
        <w:topLinePunct w:val="0"/>
        <w:bidi w:val="0"/>
        <w:adjustRightInd/>
        <w:snapToGrid/>
        <w:spacing w:line="600" w:lineRule="exact"/>
        <w:ind w:firstLine="643" w:firstLineChars="200"/>
        <w:rPr>
          <w:rFonts w:ascii="Times New Roman" w:hAnsi="Times New Roman" w:eastAsia="楷体_GB2312" w:cs="楷体_GB2312"/>
          <w:b/>
          <w:bCs/>
          <w:color w:val="000000" w:themeColor="text1"/>
          <w:sz w:val="32"/>
          <w:szCs w:val="32"/>
          <w14:textFill>
            <w14:solidFill>
              <w14:schemeClr w14:val="tx1"/>
            </w14:solidFill>
          </w14:textFill>
        </w:rPr>
      </w:pPr>
      <w:r>
        <w:rPr>
          <w:rFonts w:hint="eastAsia" w:ascii="Times New Roman" w:hAnsi="Times New Roman" w:eastAsia="楷体_GB2312" w:cs="楷体_GB2312"/>
          <w:b/>
          <w:bCs/>
          <w:color w:val="000000" w:themeColor="text1"/>
          <w:sz w:val="32"/>
          <w:szCs w:val="32"/>
          <w14:textFill>
            <w14:solidFill>
              <w14:schemeClr w14:val="tx1"/>
            </w14:solidFill>
          </w14:textFill>
        </w:rPr>
        <w:t>（一）范围</w:t>
      </w:r>
    </w:p>
    <w:p w14:paraId="1F2D3354">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本标准规定了大米中直链淀粉含量近红外光谱检测方法的原理、仪器设备、试样制备、定标模型建立、样品检测和结果、异常样品的确认和处理</w:t>
      </w:r>
      <w:r>
        <w:rPr>
          <w:rFonts w:hint="default"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准确性和精密度的要求。</w:t>
      </w:r>
    </w:p>
    <w:p w14:paraId="50F75DE5">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本文件适用于大米中直链淀粉含量的快速检测，不适用于仲裁检验。</w:t>
      </w:r>
    </w:p>
    <w:p w14:paraId="7D0E9E96">
      <w:pPr>
        <w:keepNext w:val="0"/>
        <w:keepLines w:val="0"/>
        <w:pageBreakBefore w:val="0"/>
        <w:widowControl w:val="0"/>
        <w:kinsoku/>
        <w:wordWrap/>
        <w:overflowPunct/>
        <w:topLinePunct w:val="0"/>
        <w:bidi w:val="0"/>
        <w:adjustRightInd/>
        <w:snapToGrid/>
        <w:spacing w:line="600" w:lineRule="exact"/>
        <w:ind w:firstLine="643" w:firstLineChars="200"/>
        <w:rPr>
          <w:rFonts w:ascii="Times New Roman" w:hAnsi="Times New Roman" w:eastAsia="楷体_GB2312" w:cs="楷体_GB2312"/>
          <w:b/>
          <w:bCs/>
          <w:color w:val="000000" w:themeColor="text1"/>
          <w:sz w:val="32"/>
          <w:szCs w:val="32"/>
          <w14:textFill>
            <w14:solidFill>
              <w14:schemeClr w14:val="tx1"/>
            </w14:solidFill>
          </w14:textFill>
        </w:rPr>
      </w:pPr>
      <w:r>
        <w:rPr>
          <w:rFonts w:hint="eastAsia" w:ascii="Times New Roman" w:hAnsi="Times New Roman" w:eastAsia="楷体_GB2312" w:cs="楷体_GB2312"/>
          <w:b/>
          <w:bCs/>
          <w:color w:val="000000" w:themeColor="text1"/>
          <w:sz w:val="32"/>
          <w:szCs w:val="32"/>
          <w14:textFill>
            <w14:solidFill>
              <w14:schemeClr w14:val="tx1"/>
            </w14:solidFill>
          </w14:textFill>
        </w:rPr>
        <w:t>（二）术语和定义</w:t>
      </w:r>
    </w:p>
    <w:p w14:paraId="326593B2">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eastAsia="zh-CN"/>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本标准主要依据</w:t>
      </w:r>
      <w:r>
        <w:rPr>
          <w:rFonts w:hint="eastAsia" w:ascii="Times New Roman" w:hAnsi="Times New Roman" w:eastAsia="仿宋_GB2312"/>
          <w:color w:val="000000" w:themeColor="text1"/>
          <w:sz w:val="32"/>
          <w:szCs w:val="32"/>
          <w:lang w:val="en-US" w:eastAsia="zh-CN" w:bidi="ar"/>
          <w14:textFill>
            <w14:solidFill>
              <w14:schemeClr w14:val="tx1"/>
            </w14:solidFill>
          </w14:textFill>
        </w:rPr>
        <w:t>GB/T 1354《大米》、GB/T 24895</w:t>
      </w:r>
      <w:r>
        <w:rPr>
          <w:rFonts w:hint="eastAsia" w:ascii="Times New Roman" w:hAnsi="Times New Roman" w:eastAsia="仿宋_GB2312" w:cs="仿宋_GB2312"/>
          <w:color w:val="000000" w:themeColor="text1"/>
          <w:sz w:val="32"/>
          <w:szCs w:val="32"/>
          <w14:textFill>
            <w14:solidFill>
              <w14:schemeClr w14:val="tx1"/>
            </w14:solidFill>
          </w14:textFill>
        </w:rPr>
        <w:t>《粮油检验 近红外分析定标模型验证和网络管理与维护通用规则》</w:t>
      </w:r>
      <w:r>
        <w:rPr>
          <w:rFonts w:hint="eastAsia" w:ascii="Times New Roman" w:hAnsi="Times New Roman" w:eastAsia="仿宋_GB2312" w:cs="仿宋_GB2312"/>
          <w:color w:val="000000" w:themeColor="text1"/>
          <w:sz w:val="32"/>
          <w:szCs w:val="32"/>
          <w:lang w:eastAsia="zh-CN"/>
          <w14:textFill>
            <w14:solidFill>
              <w14:schemeClr w14:val="tx1"/>
            </w14:solidFill>
          </w14:textFill>
        </w:rPr>
        <w:t>、</w:t>
      </w:r>
      <w:r>
        <w:rPr>
          <w:rFonts w:hint="eastAsia" w:ascii="Times New Roman" w:hAnsi="Times New Roman" w:eastAsia="仿宋_GB2312" w:cs="Times New Roman"/>
          <w:color w:val="000000" w:themeColor="text1"/>
          <w:kern w:val="2"/>
          <w:sz w:val="32"/>
          <w:szCs w:val="32"/>
          <w:lang w:val="en-US" w:eastAsia="zh-CN" w:bidi="ar"/>
          <w14:textFill>
            <w14:solidFill>
              <w14:schemeClr w14:val="tx1"/>
            </w14:solidFill>
          </w14:textFill>
        </w:rPr>
        <w:t>GB/T 29858-2013《分子光谱多元校正定量分析通则》</w:t>
      </w:r>
      <w:r>
        <w:rPr>
          <w:rFonts w:hint="eastAsia" w:ascii="Times New Roman" w:hAnsi="Times New Roman" w:eastAsia="仿宋_GB2312" w:cs="仿宋_GB2312"/>
          <w:color w:val="000000" w:themeColor="text1"/>
          <w:sz w:val="32"/>
          <w:szCs w:val="32"/>
          <w:lang w:eastAsia="zh-CN"/>
          <w14:textFill>
            <w14:solidFill>
              <w14:schemeClr w14:val="tx1"/>
            </w14:solidFill>
          </w14:textFill>
        </w:rPr>
        <w:t>以及</w:t>
      </w:r>
      <w:r>
        <w:rPr>
          <w:rFonts w:hint="eastAsia" w:ascii="Times New Roman" w:hAnsi="Times New Roman" w:eastAsia="仿宋_GB2312"/>
          <w:color w:val="000000" w:themeColor="text1"/>
          <w:sz w:val="32"/>
          <w:szCs w:val="32"/>
          <w:lang w:val="en-US" w:eastAsia="zh-CN" w:bidi="ar"/>
          <w14:textFill>
            <w14:solidFill>
              <w14:schemeClr w14:val="tx1"/>
            </w14:solidFill>
          </w14:textFill>
        </w:rPr>
        <w:t>《近红外光谱分析技术实用手册</w:t>
      </w:r>
      <w:r>
        <w:rPr>
          <w:rFonts w:hint="eastAsia" w:ascii="Times New Roman" w:hAnsi="Times New Roman" w:eastAsia="仿宋_GB2312" w:cs="仿宋_GB2312"/>
          <w:color w:val="000000" w:themeColor="text1"/>
          <w:sz w:val="32"/>
          <w:szCs w:val="32"/>
          <w:lang w:eastAsia="zh-CN"/>
          <w14:textFill>
            <w14:solidFill>
              <w14:schemeClr w14:val="tx1"/>
            </w14:solidFill>
          </w14:textFill>
        </w:rPr>
        <w:t>》，结合标准制定依据和其他参考资料所列的标准及出版物，提出相关术语和定义。</w:t>
      </w:r>
    </w:p>
    <w:p w14:paraId="0FE1EE48">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1.大米分类</w:t>
      </w:r>
    </w:p>
    <w:p w14:paraId="09AFD59E">
      <w:pPr>
        <w:keepNext w:val="0"/>
        <w:keepLines w:val="0"/>
        <w:pageBreakBefore w:val="0"/>
        <w:widowControl w:val="0"/>
        <w:kinsoku/>
        <w:wordWrap/>
        <w:overflowPunct/>
        <w:topLinePunct w:val="0"/>
        <w:bidi w:val="0"/>
        <w:adjustRightInd/>
        <w:snapToGrid/>
        <w:spacing w:line="600" w:lineRule="exact"/>
        <w:ind w:firstLine="640" w:firstLineChars="200"/>
        <w:rPr>
          <w:rFonts w:hint="default" w:ascii="Times New Roman" w:hAnsi="Times New Roman" w:eastAsia="仿宋_GB2312" w:cs="仿宋_GB2312"/>
          <w:color w:val="000000" w:themeColor="text1"/>
          <w:sz w:val="32"/>
          <w:szCs w:val="32"/>
          <w:lang w:val="en-US" w:eastAsia="zh-CN"/>
          <w14:textFill>
            <w14:solidFill>
              <w14:schemeClr w14:val="tx1"/>
            </w14:solidFill>
          </w14:textFill>
        </w:rPr>
      </w:pPr>
      <w:r>
        <w:rPr>
          <w:rFonts w:hint="default" w:ascii="Times New Roman" w:hAnsi="Times New Roman" w:eastAsia="仿宋_GB2312" w:cs="仿宋_GB2312"/>
          <w:color w:val="000000" w:themeColor="text1"/>
          <w:sz w:val="32"/>
          <w:szCs w:val="32"/>
          <w:lang w:val="en-US" w:eastAsia="zh-CN"/>
          <w14:textFill>
            <w14:solidFill>
              <w14:schemeClr w14:val="tx1"/>
            </w14:solidFill>
          </w14:textFill>
        </w:rPr>
        <w:t>按食用品质分为大米和优质大米。</w:t>
      </w:r>
    </w:p>
    <w:p w14:paraId="03498F7D">
      <w:pPr>
        <w:keepNext w:val="0"/>
        <w:keepLines w:val="0"/>
        <w:pageBreakBefore w:val="0"/>
        <w:widowControl w:val="0"/>
        <w:kinsoku/>
        <w:wordWrap/>
        <w:overflowPunct/>
        <w:topLinePunct w:val="0"/>
        <w:bidi w:val="0"/>
        <w:adjustRightInd/>
        <w:snapToGrid/>
        <w:spacing w:line="600" w:lineRule="exact"/>
        <w:ind w:firstLine="640" w:firstLineChars="200"/>
        <w:rPr>
          <w:rFonts w:hint="default" w:ascii="Times New Roman" w:hAnsi="Times New Roman" w:eastAsia="仿宋_GB2312" w:cs="仿宋_GB2312"/>
          <w:color w:val="000000" w:themeColor="text1"/>
          <w:sz w:val="32"/>
          <w:szCs w:val="32"/>
          <w:lang w:val="en-US" w:eastAsia="zh-CN"/>
          <w14:textFill>
            <w14:solidFill>
              <w14:schemeClr w14:val="tx1"/>
            </w14:solidFill>
          </w14:textFill>
        </w:rPr>
      </w:pPr>
      <w:r>
        <w:rPr>
          <w:rFonts w:hint="default" w:ascii="Times New Roman" w:hAnsi="Times New Roman" w:eastAsia="仿宋_GB2312" w:cs="仿宋_GB2312"/>
          <w:color w:val="000000" w:themeColor="text1"/>
          <w:sz w:val="32"/>
          <w:szCs w:val="32"/>
          <w:lang w:val="en-US" w:eastAsia="zh-CN"/>
          <w14:textFill>
            <w14:solidFill>
              <w14:schemeClr w14:val="tx1"/>
            </w14:solidFill>
          </w14:textFill>
        </w:rPr>
        <w:t>按原料稻谷类型</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仿宋_GB2312"/>
          <w:color w:val="000000" w:themeColor="text1"/>
          <w:sz w:val="32"/>
          <w:szCs w:val="32"/>
          <w:lang w:val="en-US" w:eastAsia="zh-CN"/>
          <w14:textFill>
            <w14:solidFill>
              <w14:schemeClr w14:val="tx1"/>
            </w14:solidFill>
          </w14:textFill>
        </w:rPr>
        <w:t>大米分为籼米</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（1.1）</w:t>
      </w:r>
      <w:r>
        <w:rPr>
          <w:rFonts w:hint="default" w:ascii="Times New Roman" w:hAnsi="Times New Roman" w:eastAsia="仿宋_GB2312" w:cs="仿宋_GB2312"/>
          <w:color w:val="000000" w:themeColor="text1"/>
          <w:sz w:val="32"/>
          <w:szCs w:val="32"/>
          <w:lang w:val="en-US" w:eastAsia="zh-CN"/>
          <w14:textFill>
            <w14:solidFill>
              <w14:schemeClr w14:val="tx1"/>
            </w14:solidFill>
          </w14:textFill>
        </w:rPr>
        <w:t>、粳米</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（1.2）</w:t>
      </w:r>
      <w:r>
        <w:rPr>
          <w:rFonts w:hint="default" w:ascii="Times New Roman" w:hAnsi="Times New Roman" w:eastAsia="仿宋_GB2312" w:cs="仿宋_GB2312"/>
          <w:color w:val="000000" w:themeColor="text1"/>
          <w:sz w:val="32"/>
          <w:szCs w:val="32"/>
          <w:lang w:val="en-US" w:eastAsia="zh-CN"/>
          <w14:textFill>
            <w14:solidFill>
              <w14:schemeClr w14:val="tx1"/>
            </w14:solidFill>
          </w14:textFill>
        </w:rPr>
        <w:t>、籼糯米</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（1.3）</w:t>
      </w:r>
      <w:r>
        <w:rPr>
          <w:rFonts w:hint="default" w:ascii="Times New Roman" w:hAnsi="Times New Roman" w:eastAsia="仿宋_GB2312" w:cs="仿宋_GB2312"/>
          <w:color w:val="000000" w:themeColor="text1"/>
          <w:sz w:val="32"/>
          <w:szCs w:val="32"/>
          <w:lang w:val="en-US" w:eastAsia="zh-CN"/>
          <w14:textFill>
            <w14:solidFill>
              <w14:schemeClr w14:val="tx1"/>
            </w14:solidFill>
          </w14:textFill>
        </w:rPr>
        <w:t>、粳糯米</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（1.4）</w:t>
      </w:r>
      <w:r>
        <w:rPr>
          <w:rFonts w:hint="default" w:ascii="Times New Roman" w:hAnsi="Times New Roman" w:eastAsia="仿宋_GB2312" w:cs="仿宋_GB2312"/>
          <w:color w:val="000000" w:themeColor="text1"/>
          <w:sz w:val="32"/>
          <w:szCs w:val="32"/>
          <w:lang w:val="en-US" w:eastAsia="zh-CN"/>
          <w14:textFill>
            <w14:solidFill>
              <w14:schemeClr w14:val="tx1"/>
            </w14:solidFill>
          </w14:textFill>
        </w:rPr>
        <w:t>四类</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default" w:ascii="Times New Roman" w:hAnsi="Times New Roman" w:eastAsia="仿宋_GB2312" w:cs="仿宋_GB2312"/>
          <w:color w:val="000000" w:themeColor="text1"/>
          <w:sz w:val="32"/>
          <w:szCs w:val="32"/>
          <w:lang w:val="en-US" w:eastAsia="zh-CN"/>
          <w14:textFill>
            <w14:solidFill>
              <w14:schemeClr w14:val="tx1"/>
            </w14:solidFill>
          </w14:textFill>
        </w:rPr>
        <w:t>优质大米分为优质籼米和优质粳米两类。</w:t>
      </w:r>
    </w:p>
    <w:p w14:paraId="393953C4">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1.1籼米 milled long-grain nonglutinous rice, indica rice</w:t>
      </w:r>
    </w:p>
    <w:p w14:paraId="55E41A94">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用籼型非糯性稻谷制成的大米。</w:t>
      </w:r>
    </w:p>
    <w:p w14:paraId="4D10EB89">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1.2粳米 milled medium to short-grain nonglutinous rice, japonica rice</w:t>
      </w:r>
    </w:p>
    <w:p w14:paraId="385BFBFF">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用粳型非糯性稻谷制成的大米。</w:t>
      </w:r>
    </w:p>
    <w:p w14:paraId="1734B94D">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1.3籼糯米 milled longgrain waxy rice,milled long-grain glutinous rice</w:t>
      </w:r>
    </w:p>
    <w:p w14:paraId="7CE66540">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用籼型糯性稻谷制成的大米。米粒一般呈长椭圆形或细长形，乳白色，不透明，也有的呈半透明状（阴糯米），粘性大。</w:t>
      </w:r>
    </w:p>
    <w:p w14:paraId="4DDAAD4A">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1.4粳糯米 milled medium to short-grain waxy rice,milled medium to short-grain glutinous rice</w:t>
      </w:r>
    </w:p>
    <w:p w14:paraId="2B697EAC">
      <w:pPr>
        <w:keepNext w:val="0"/>
        <w:keepLines w:val="0"/>
        <w:pageBreakBefore w:val="0"/>
        <w:widowControl w:val="0"/>
        <w:kinsoku/>
        <w:wordWrap/>
        <w:overflowPunct/>
        <w:topLinePunct w:val="0"/>
        <w:bidi w:val="0"/>
        <w:adjustRightInd/>
        <w:snapToGrid/>
        <w:spacing w:line="600" w:lineRule="exact"/>
        <w:ind w:firstLine="640" w:firstLineChars="200"/>
        <w:rPr>
          <w:rFonts w:hint="default"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用粳型糯性稻谷制成的大米。米粒一般呈椭圆形，乳白色，不透明，也有的呈半透明状（阴糯米），粘性大。</w:t>
      </w:r>
    </w:p>
    <w:p w14:paraId="67CC30D0">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2.加工精度milling degree</w:t>
      </w:r>
    </w:p>
    <w:p w14:paraId="50B9838A">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加工后米胚残留以及米粒表面和背沟残留皮层的程度，包括精碾（2.1）和适碾（2.2）。</w:t>
      </w:r>
    </w:p>
    <w:p w14:paraId="211B08A2">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2.1精碾well milled</w:t>
      </w:r>
    </w:p>
    <w:p w14:paraId="59839E20">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背沟基本无皮、或有皮不成线，米胚和粒面皮层去净的占80%~90%；或留皮度（2.3）在2.0%以下。</w:t>
      </w:r>
    </w:p>
    <w:p w14:paraId="32285526">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2.2适碾 reasonably well milled</w:t>
      </w:r>
    </w:p>
    <w:p w14:paraId="0BFADDEB">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背沟有皮，粒面皮层残留不超过1/5的占75%~85%,其中粳米、优质粳米中有胚的米粒在20%以下；或留皮度（2.3）为2.0%~7.0%。</w:t>
      </w:r>
    </w:p>
    <w:p w14:paraId="53FE6C6F">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2.3留皮度bran degree</w:t>
      </w:r>
    </w:p>
    <w:p w14:paraId="333504C2">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试样平放，残留皮层、米胚投影面积之和占试样投影面积的百分率。</w:t>
      </w:r>
    </w:p>
    <w:p w14:paraId="445A8E17">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3.直链淀粉含量amylose content</w:t>
      </w:r>
    </w:p>
    <w:p w14:paraId="381B56AF">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试样所含直链淀粉的质量占试样总质量的百分率。</w:t>
      </w:r>
    </w:p>
    <w:p w14:paraId="23903613">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4.粮油近红外分析仪near-infrared instrument for grain and oil</w:t>
      </w:r>
    </w:p>
    <w:p w14:paraId="7D045CAD">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基于粮油样品近红外光谱区的吸收特性测定粮油及其制品的组分含量(如水分、脂肪、蛋白质、淀粉、粗纤维)或特性指标的专用分析仪器。</w:t>
      </w:r>
    </w:p>
    <w:p w14:paraId="3B9A80C8">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5.定标模型calibration model</w:t>
      </w:r>
    </w:p>
    <w:p w14:paraId="10E1964C">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利用化学计量学方法建立的样品近红外光谱与对应化学标准值之间关系的数学模型。</w:t>
      </w:r>
    </w:p>
    <w:p w14:paraId="32D28F06">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6.样品集sample set</w:t>
      </w:r>
    </w:p>
    <w:p w14:paraId="4D9DA326">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具有代表性的、基本覆盖相关组分含量范围的样品集合。</w:t>
      </w:r>
    </w:p>
    <w:p w14:paraId="0CF2A850">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7.校正集试样calibration set</w:t>
      </w:r>
    </w:p>
    <w:p w14:paraId="05F7B267">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基于已知成分浓度或性质数据，用来建立校正近红外模型（简称模型）的试样。</w:t>
      </w:r>
    </w:p>
    <w:p w14:paraId="59C813CC">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8.验证集试样yalidation set</w:t>
      </w:r>
    </w:p>
    <w:p w14:paraId="539FDBF0">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基于已知成分浓度或性质数据、用来验证模型的试样。</w:t>
      </w:r>
    </w:p>
    <w:p w14:paraId="1EAC3A32">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9.交互验证cross validation</w:t>
      </w:r>
    </w:p>
    <w:p w14:paraId="286A0A3A">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从校正集试样中取出一定数量的试样作预测，用剩余的试样建立定标模型，来预测取出的试样，重复上述过程，经反复建模及预测，直至所有试样均被预测一次且只被预测一次。</w:t>
      </w:r>
    </w:p>
    <w:p w14:paraId="587701C9">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10.离群值outlier</w:t>
      </w:r>
    </w:p>
    <w:p w14:paraId="008F51E1">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离开其他测定值较远的样品测定值，表示样品可能与定标模型使用的样品差异较大。</w:t>
      </w:r>
    </w:p>
    <w:p w14:paraId="1B62A37B">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11.异常样品abnormal samples</w:t>
      </w:r>
    </w:p>
    <w:p w14:paraId="0C85671F">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出现离群值的样品。</w:t>
      </w:r>
    </w:p>
    <w:p w14:paraId="3555CC4B">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12.标准方法standard method</w:t>
      </w:r>
    </w:p>
    <w:p w14:paraId="599981F6">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测定样品组分含量标准值时所采用的国家标准测试方法。</w:t>
      </w:r>
    </w:p>
    <w:p w14:paraId="6E1F0669">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13.定标模型验证calibration modelvalidation</w:t>
      </w:r>
    </w:p>
    <w:p w14:paraId="090E05AE">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使用验证样品集验证定标模型准确性和重复性的过程。</w:t>
      </w:r>
    </w:p>
    <w:p w14:paraId="5BE4E829">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14.预测标准偏差standard error of prediction corrected for bias(</w:t>
      </w:r>
      <w:r>
        <w:rPr>
          <w:rFonts w:hint="eastAsia" w:ascii="Times New Roman" w:hAnsi="Times New Roman" w:eastAsia="仿宋_GB2312" w:cs="仿宋_GB2312"/>
          <w:i/>
          <w:iCs/>
          <w:color w:val="000000" w:themeColor="text1"/>
          <w:sz w:val="32"/>
          <w:szCs w:val="32"/>
          <w:lang w:val="en-US" w:eastAsia="zh-CN"/>
          <w14:textFill>
            <w14:solidFill>
              <w14:schemeClr w14:val="tx1"/>
            </w14:solidFill>
          </w14:textFill>
        </w:rPr>
        <w:t>SEP</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p>
    <w:p w14:paraId="4BB4740F">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验证集组分的近红外测定值扣除系统偏差后与其标准值之间的标准差，表示定标模型调整后的准确度。预测标准偏差按公式（1）计算:</w:t>
      </w:r>
    </w:p>
    <w:p w14:paraId="3F8C9291">
      <w:pPr>
        <w:keepNext w:val="0"/>
        <w:keepLines w:val="0"/>
        <w:pageBreakBefore w:val="0"/>
        <w:widowControl w:val="0"/>
        <w:suppressLineNumbers w:val="0"/>
        <w:kinsoku/>
        <w:wordWrap/>
        <w:overflowPunct/>
        <w:topLinePunct w:val="0"/>
        <w:bidi w:val="0"/>
        <w:adjustRightInd/>
        <w:snapToGrid/>
        <w:jc w:val="right"/>
        <w:rPr>
          <w:rFonts w:ascii="Times New Roman" w:hAnsi="Times New Roman" w:eastAsia="宋体" w:cs="宋体"/>
          <w:kern w:val="0"/>
          <w:sz w:val="24"/>
          <w:szCs w:val="24"/>
          <w:lang w:val="en-US" w:eastAsia="zh-CN" w:bidi="ar"/>
        </w:rPr>
      </w:pPr>
      <w:r>
        <w:rPr>
          <w:rFonts w:ascii="Times New Roman" w:hAnsi="Times New Roman" w:eastAsia="宋体" w:cs="宋体"/>
          <w:kern w:val="0"/>
          <w:sz w:val="24"/>
          <w:szCs w:val="24"/>
          <w:lang w:val="en-US" w:eastAsia="zh-CN" w:bidi="ar"/>
        </w:rPr>
        <w:drawing>
          <wp:inline distT="0" distB="0" distL="114300" distR="114300">
            <wp:extent cx="4162425" cy="666750"/>
            <wp:effectExtent l="0" t="0" r="9525"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7"/>
                    <a:stretch>
                      <a:fillRect/>
                    </a:stretch>
                  </pic:blipFill>
                  <pic:spPr>
                    <a:xfrm>
                      <a:off x="0" y="0"/>
                      <a:ext cx="4162425" cy="666750"/>
                    </a:xfrm>
                    <a:prstGeom prst="rect">
                      <a:avLst/>
                    </a:prstGeom>
                    <a:noFill/>
                    <a:ln w="9525">
                      <a:noFill/>
                    </a:ln>
                  </pic:spPr>
                </pic:pic>
              </a:graphicData>
            </a:graphic>
          </wp:inline>
        </w:drawing>
      </w:r>
    </w:p>
    <w:p w14:paraId="458AB470">
      <w:pPr>
        <w:keepNext w:val="0"/>
        <w:keepLines w:val="0"/>
        <w:pageBreakBefore w:val="0"/>
        <w:widowControl w:val="0"/>
        <w:suppressLineNumbers w:val="0"/>
        <w:kinsoku/>
        <w:wordWrap/>
        <w:overflowPunct/>
        <w:topLinePunct w:val="0"/>
        <w:bidi w:val="0"/>
        <w:adjustRightInd/>
        <w:snapToGrid/>
        <w:jc w:val="left"/>
        <w:rPr>
          <w:rFonts w:ascii="Times New Roman" w:hAnsi="Times New Roman"/>
        </w:rPr>
      </w:pPr>
      <w:r>
        <w:rPr>
          <w:rFonts w:hint="eastAsia" w:ascii="Times New Roman" w:hAnsi="Times New Roman" w:eastAsia="宋体" w:cs="宋体"/>
          <w:kern w:val="0"/>
          <w:sz w:val="24"/>
          <w:szCs w:val="24"/>
          <w:lang w:val="en-US" w:eastAsia="zh-CN" w:bidi="ar"/>
        </w:rPr>
        <w:t>式中：</w:t>
      </w:r>
      <w:r>
        <w:rPr>
          <w:rFonts w:ascii="Times New Roman" w:hAnsi="Times New Roman" w:eastAsia="宋体" w:cs="宋体"/>
          <w:kern w:val="0"/>
          <w:sz w:val="24"/>
          <w:szCs w:val="24"/>
          <w:lang w:val="en-US" w:eastAsia="zh-CN" w:bidi="ar"/>
        </w:rPr>
        <w:drawing>
          <wp:inline distT="0" distB="0" distL="114300" distR="114300">
            <wp:extent cx="5527040" cy="1136015"/>
            <wp:effectExtent l="0" t="0" r="16510" b="6985"/>
            <wp:docPr id="1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6"/>
                    <pic:cNvPicPr>
                      <a:picLocks noChangeAspect="1"/>
                    </pic:cNvPicPr>
                  </pic:nvPicPr>
                  <pic:blipFill>
                    <a:blip r:embed="rId8"/>
                    <a:stretch>
                      <a:fillRect/>
                    </a:stretch>
                  </pic:blipFill>
                  <pic:spPr>
                    <a:xfrm>
                      <a:off x="0" y="0"/>
                      <a:ext cx="5527040" cy="1136015"/>
                    </a:xfrm>
                    <a:prstGeom prst="rect">
                      <a:avLst/>
                    </a:prstGeom>
                    <a:noFill/>
                    <a:ln w="9525">
                      <a:noFill/>
                    </a:ln>
                  </pic:spPr>
                </pic:pic>
              </a:graphicData>
            </a:graphic>
          </wp:inline>
        </w:drawing>
      </w:r>
    </w:p>
    <w:p w14:paraId="431472A2">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15.偏差deviation</w:t>
      </w:r>
    </w:p>
    <w:p w14:paraId="58516B13">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试样成分含量与近红外预测值之间的差异，按公式（2）计算:</w:t>
      </w:r>
    </w:p>
    <w:p w14:paraId="624EDE0B">
      <w:pPr>
        <w:keepNext w:val="0"/>
        <w:keepLines w:val="0"/>
        <w:pageBreakBefore w:val="0"/>
        <w:widowControl w:val="0"/>
        <w:suppressLineNumbers w:val="0"/>
        <w:kinsoku/>
        <w:wordWrap/>
        <w:overflowPunct/>
        <w:topLinePunct w:val="0"/>
        <w:bidi w:val="0"/>
        <w:adjustRightInd/>
        <w:snapToGrid/>
        <w:jc w:val="right"/>
        <w:rPr>
          <w:rFonts w:ascii="Times New Roman" w:hAnsi="Times New Roman"/>
        </w:rPr>
      </w:pPr>
      <w:r>
        <w:rPr>
          <w:rFonts w:ascii="Times New Roman" w:hAnsi="Times New Roman" w:eastAsia="宋体" w:cs="宋体"/>
          <w:kern w:val="0"/>
          <w:sz w:val="24"/>
          <w:szCs w:val="24"/>
          <w:lang w:val="en-US" w:eastAsia="zh-CN" w:bidi="ar"/>
        </w:rPr>
        <w:drawing>
          <wp:inline distT="0" distB="0" distL="114300" distR="114300">
            <wp:extent cx="4905375" cy="447675"/>
            <wp:effectExtent l="0" t="0" r="9525" b="9525"/>
            <wp:docPr id="1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56"/>
                    <pic:cNvPicPr>
                      <a:picLocks noChangeAspect="1"/>
                    </pic:cNvPicPr>
                  </pic:nvPicPr>
                  <pic:blipFill>
                    <a:blip r:embed="rId9"/>
                    <a:srcRect/>
                    <a:stretch>
                      <a:fillRect/>
                    </a:stretch>
                  </pic:blipFill>
                  <pic:spPr>
                    <a:xfrm>
                      <a:off x="0" y="0"/>
                      <a:ext cx="4905375" cy="447675"/>
                    </a:xfrm>
                    <a:prstGeom prst="rect">
                      <a:avLst/>
                    </a:prstGeom>
                    <a:noFill/>
                    <a:ln w="9525">
                      <a:noFill/>
                    </a:ln>
                  </pic:spPr>
                </pic:pic>
              </a:graphicData>
            </a:graphic>
          </wp:inline>
        </w:drawing>
      </w:r>
    </w:p>
    <w:p w14:paraId="7175EA83">
      <w:pPr>
        <w:keepNext w:val="0"/>
        <w:keepLines w:val="0"/>
        <w:pageBreakBefore w:val="0"/>
        <w:widowControl w:val="0"/>
        <w:kinsoku/>
        <w:wordWrap/>
        <w:overflowPunct/>
        <w:topLinePunct w:val="0"/>
        <w:bidi w:val="0"/>
        <w:adjustRightInd/>
        <w:snapToGrid/>
        <w:spacing w:line="600" w:lineRule="exact"/>
        <w:ind w:firstLine="480" w:firstLineChars="200"/>
        <w:rPr>
          <w:rFonts w:hint="eastAsia" w:ascii="Times New Roman" w:hAnsi="Times New Roman" w:eastAsia="宋体" w:cs="宋体"/>
          <w:kern w:val="0"/>
          <w:sz w:val="24"/>
          <w:szCs w:val="24"/>
          <w:lang w:val="en-US" w:eastAsia="zh-CN" w:bidi="ar"/>
        </w:rPr>
      </w:pPr>
      <w:r>
        <w:rPr>
          <w:rFonts w:hint="eastAsia" w:ascii="Times New Roman" w:hAnsi="Times New Roman" w:eastAsia="宋体" w:cs="宋体"/>
          <w:kern w:val="0"/>
          <w:sz w:val="24"/>
          <w:szCs w:val="24"/>
          <w:lang w:val="en-US" w:eastAsia="zh-CN" w:bidi="ar"/>
        </w:rPr>
        <w:t>式中：</w:t>
      </w:r>
    </w:p>
    <w:p w14:paraId="0AE8F61A">
      <w:pPr>
        <w:keepNext w:val="0"/>
        <w:keepLines w:val="0"/>
        <w:pageBreakBefore w:val="0"/>
        <w:widowControl w:val="0"/>
        <w:suppressLineNumbers w:val="0"/>
        <w:kinsoku/>
        <w:wordWrap/>
        <w:overflowPunct/>
        <w:topLinePunct w:val="0"/>
        <w:bidi w:val="0"/>
        <w:adjustRightInd/>
        <w:snapToGrid/>
        <w:jc w:val="center"/>
        <w:rPr>
          <w:rFonts w:hint="eastAsia" w:ascii="Times New Roman" w:hAnsi="Times New Roman" w:eastAsia="宋体" w:cs="宋体"/>
          <w:kern w:val="0"/>
          <w:sz w:val="24"/>
          <w:szCs w:val="24"/>
          <w:lang w:val="en-US" w:eastAsia="zh-CN" w:bidi="ar"/>
        </w:rPr>
      </w:pPr>
      <w:r>
        <w:rPr>
          <w:rFonts w:ascii="Times New Roman" w:hAnsi="Times New Roman" w:eastAsia="宋体" w:cs="宋体"/>
          <w:kern w:val="0"/>
          <w:sz w:val="24"/>
          <w:szCs w:val="24"/>
          <w:lang w:val="en-US" w:eastAsia="zh-CN" w:bidi="ar"/>
        </w:rPr>
        <w:drawing>
          <wp:inline distT="0" distB="0" distL="114300" distR="114300">
            <wp:extent cx="4200525" cy="523875"/>
            <wp:effectExtent l="0" t="0" r="9525" b="9525"/>
            <wp:docPr id="1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IMG_256"/>
                    <pic:cNvPicPr>
                      <a:picLocks noChangeAspect="1"/>
                    </pic:cNvPicPr>
                  </pic:nvPicPr>
                  <pic:blipFill>
                    <a:blip r:embed="rId10"/>
                    <a:stretch>
                      <a:fillRect/>
                    </a:stretch>
                  </pic:blipFill>
                  <pic:spPr>
                    <a:xfrm>
                      <a:off x="0" y="0"/>
                      <a:ext cx="4200525" cy="523875"/>
                    </a:xfrm>
                    <a:prstGeom prst="rect">
                      <a:avLst/>
                    </a:prstGeom>
                    <a:noFill/>
                    <a:ln w="9525">
                      <a:noFill/>
                    </a:ln>
                  </pic:spPr>
                </pic:pic>
              </a:graphicData>
            </a:graphic>
          </wp:inline>
        </w:drawing>
      </w:r>
    </w:p>
    <w:p w14:paraId="65A45C05">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16.校正标准偏差standard error of calibration（</w:t>
      </w:r>
      <w:r>
        <w:rPr>
          <w:rFonts w:hint="eastAsia" w:ascii="Times New Roman" w:hAnsi="Times New Roman" w:eastAsia="仿宋_GB2312" w:cs="仿宋_GB2312"/>
          <w:i/>
          <w:iCs/>
          <w:color w:val="000000" w:themeColor="text1"/>
          <w:sz w:val="32"/>
          <w:szCs w:val="32"/>
          <w:lang w:val="en-US" w:eastAsia="zh-CN"/>
          <w14:textFill>
            <w14:solidFill>
              <w14:schemeClr w14:val="tx1"/>
            </w14:solidFill>
          </w14:textFill>
        </w:rPr>
        <w:t>SEC</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p>
    <w:p w14:paraId="04C80A65">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校正集试样的近红外预测值与试样成分含量的平均差异，按公式（3）计算:</w:t>
      </w:r>
    </w:p>
    <w:p w14:paraId="05548A72">
      <w:pPr>
        <w:keepNext w:val="0"/>
        <w:keepLines w:val="0"/>
        <w:pageBreakBefore w:val="0"/>
        <w:widowControl w:val="0"/>
        <w:suppressLineNumbers w:val="0"/>
        <w:kinsoku/>
        <w:wordWrap/>
        <w:overflowPunct/>
        <w:topLinePunct w:val="0"/>
        <w:bidi w:val="0"/>
        <w:adjustRightInd/>
        <w:snapToGrid/>
        <w:jc w:val="right"/>
        <w:rPr>
          <w:rFonts w:ascii="Times New Roman" w:hAnsi="Times New Roman" w:eastAsia="宋体" w:cs="宋体"/>
          <w:kern w:val="0"/>
          <w:sz w:val="24"/>
          <w:szCs w:val="24"/>
          <w:lang w:val="en-US" w:eastAsia="zh-CN" w:bidi="ar"/>
        </w:rPr>
      </w:pPr>
      <w:r>
        <w:rPr>
          <w:rFonts w:ascii="Times New Roman" w:hAnsi="Times New Roman" w:eastAsia="宋体" w:cs="宋体"/>
          <w:kern w:val="0"/>
          <w:sz w:val="24"/>
          <w:szCs w:val="24"/>
          <w:lang w:val="en-US" w:eastAsia="zh-CN" w:bidi="ar"/>
        </w:rPr>
        <w:drawing>
          <wp:inline distT="0" distB="0" distL="114300" distR="114300">
            <wp:extent cx="4876800" cy="628650"/>
            <wp:effectExtent l="0" t="0" r="0" b="0"/>
            <wp:docPr id="2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IMG_256"/>
                    <pic:cNvPicPr>
                      <a:picLocks noChangeAspect="1"/>
                    </pic:cNvPicPr>
                  </pic:nvPicPr>
                  <pic:blipFill>
                    <a:blip r:embed="rId11"/>
                    <a:stretch>
                      <a:fillRect/>
                    </a:stretch>
                  </pic:blipFill>
                  <pic:spPr>
                    <a:xfrm>
                      <a:off x="0" y="0"/>
                      <a:ext cx="4876800" cy="628650"/>
                    </a:xfrm>
                    <a:prstGeom prst="rect">
                      <a:avLst/>
                    </a:prstGeom>
                    <a:noFill/>
                    <a:ln w="9525">
                      <a:noFill/>
                    </a:ln>
                  </pic:spPr>
                </pic:pic>
              </a:graphicData>
            </a:graphic>
          </wp:inline>
        </w:drawing>
      </w:r>
    </w:p>
    <w:p w14:paraId="04AE2A8D">
      <w:pPr>
        <w:keepNext w:val="0"/>
        <w:keepLines w:val="0"/>
        <w:pageBreakBefore w:val="0"/>
        <w:widowControl w:val="0"/>
        <w:suppressLineNumbers w:val="0"/>
        <w:kinsoku/>
        <w:wordWrap/>
        <w:overflowPunct/>
        <w:topLinePunct w:val="0"/>
        <w:bidi w:val="0"/>
        <w:adjustRightInd/>
        <w:snapToGrid/>
        <w:ind w:firstLine="480" w:firstLineChars="200"/>
        <w:jc w:val="left"/>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宋体" w:cs="宋体"/>
          <w:kern w:val="0"/>
          <w:sz w:val="24"/>
          <w:szCs w:val="24"/>
          <w:lang w:val="en-US" w:eastAsia="zh-CN" w:bidi="ar"/>
        </w:rPr>
        <w:t>式中：</w:t>
      </w:r>
    </w:p>
    <w:p w14:paraId="4D03ED6F">
      <w:pPr>
        <w:keepNext w:val="0"/>
        <w:keepLines w:val="0"/>
        <w:pageBreakBefore w:val="0"/>
        <w:widowControl w:val="0"/>
        <w:suppressLineNumbers w:val="0"/>
        <w:kinsoku/>
        <w:wordWrap/>
        <w:overflowPunct/>
        <w:topLinePunct w:val="0"/>
        <w:bidi w:val="0"/>
        <w:adjustRightInd/>
        <w:snapToGrid/>
        <w:jc w:val="center"/>
        <w:rPr>
          <w:rFonts w:ascii="Times New Roman" w:hAnsi="Times New Roman"/>
        </w:rPr>
      </w:pPr>
      <w:r>
        <w:rPr>
          <w:rFonts w:ascii="Times New Roman" w:hAnsi="Times New Roman" w:eastAsia="宋体" w:cs="宋体"/>
          <w:kern w:val="0"/>
          <w:sz w:val="24"/>
          <w:szCs w:val="24"/>
          <w:lang w:val="en-US" w:eastAsia="zh-CN" w:bidi="ar"/>
        </w:rPr>
        <w:drawing>
          <wp:inline distT="0" distB="0" distL="114300" distR="114300">
            <wp:extent cx="4476750" cy="752475"/>
            <wp:effectExtent l="0" t="0" r="0" b="9525"/>
            <wp:docPr id="23"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IMG_256"/>
                    <pic:cNvPicPr>
                      <a:picLocks noChangeAspect="1"/>
                    </pic:cNvPicPr>
                  </pic:nvPicPr>
                  <pic:blipFill>
                    <a:blip r:embed="rId12"/>
                    <a:stretch>
                      <a:fillRect/>
                    </a:stretch>
                  </pic:blipFill>
                  <pic:spPr>
                    <a:xfrm>
                      <a:off x="0" y="0"/>
                      <a:ext cx="4476750" cy="752475"/>
                    </a:xfrm>
                    <a:prstGeom prst="rect">
                      <a:avLst/>
                    </a:prstGeom>
                    <a:noFill/>
                    <a:ln w="9525">
                      <a:noFill/>
                    </a:ln>
                  </pic:spPr>
                </pic:pic>
              </a:graphicData>
            </a:graphic>
          </wp:inline>
        </w:drawing>
      </w:r>
    </w:p>
    <w:p w14:paraId="3195146F">
      <w:pPr>
        <w:keepNext w:val="0"/>
        <w:keepLines w:val="0"/>
        <w:pageBreakBefore w:val="0"/>
        <w:widowControl w:val="0"/>
        <w:kinsoku/>
        <w:wordWrap/>
        <w:overflowPunct/>
        <w:topLinePunct w:val="0"/>
        <w:bidi w:val="0"/>
        <w:adjustRightInd/>
        <w:snapToGrid/>
        <w:spacing w:line="600" w:lineRule="exact"/>
        <w:ind w:firstLine="640" w:firstLineChars="200"/>
        <w:rPr>
          <w:rFonts w:hint="default"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17.交互验证的校正标准偏差standard error ofcross validation(</w:t>
      </w:r>
      <w:r>
        <w:rPr>
          <w:rFonts w:hint="eastAsia" w:ascii="Times New Roman" w:hAnsi="Times New Roman" w:eastAsia="仿宋_GB2312" w:cs="仿宋_GB2312"/>
          <w:i/>
          <w:iCs/>
          <w:color w:val="000000" w:themeColor="text1"/>
          <w:sz w:val="32"/>
          <w:szCs w:val="32"/>
          <w:lang w:val="en-US" w:eastAsia="zh-CN"/>
          <w14:textFill>
            <w14:solidFill>
              <w14:schemeClr w14:val="tx1"/>
            </w14:solidFill>
          </w14:textFill>
        </w:rPr>
        <w:t>SECV</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p>
    <w:p w14:paraId="57ED8F92">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交互验证过程中，近红外预测值与试样成分含量经过校正后的平均差异，按公式（4）计算:</w:t>
      </w:r>
    </w:p>
    <w:p w14:paraId="23A3C596">
      <w:pPr>
        <w:keepNext w:val="0"/>
        <w:keepLines w:val="0"/>
        <w:pageBreakBefore w:val="0"/>
        <w:widowControl w:val="0"/>
        <w:suppressLineNumbers w:val="0"/>
        <w:kinsoku/>
        <w:wordWrap/>
        <w:overflowPunct/>
        <w:topLinePunct w:val="0"/>
        <w:bidi w:val="0"/>
        <w:adjustRightInd/>
        <w:snapToGrid/>
        <w:jc w:val="right"/>
        <w:rPr>
          <w:rFonts w:ascii="Times New Roman" w:hAnsi="Times New Roman" w:eastAsia="宋体" w:cs="宋体"/>
          <w:kern w:val="0"/>
          <w:sz w:val="24"/>
          <w:szCs w:val="24"/>
          <w:lang w:val="en-US" w:eastAsia="zh-CN" w:bidi="ar"/>
        </w:rPr>
      </w:pPr>
      <w:r>
        <w:rPr>
          <w:rFonts w:ascii="Times New Roman" w:hAnsi="Times New Roman" w:eastAsia="宋体" w:cs="宋体"/>
          <w:kern w:val="0"/>
          <w:sz w:val="24"/>
          <w:szCs w:val="24"/>
          <w:lang w:val="en-US" w:eastAsia="zh-CN" w:bidi="ar"/>
        </w:rPr>
        <w:drawing>
          <wp:inline distT="0" distB="0" distL="114300" distR="114300">
            <wp:extent cx="4629150" cy="647700"/>
            <wp:effectExtent l="0" t="0" r="0" b="0"/>
            <wp:docPr id="24"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IMG_256"/>
                    <pic:cNvPicPr>
                      <a:picLocks noChangeAspect="1"/>
                    </pic:cNvPicPr>
                  </pic:nvPicPr>
                  <pic:blipFill>
                    <a:blip r:embed="rId13"/>
                    <a:srcRect/>
                    <a:stretch>
                      <a:fillRect/>
                    </a:stretch>
                  </pic:blipFill>
                  <pic:spPr>
                    <a:xfrm>
                      <a:off x="0" y="0"/>
                      <a:ext cx="4629150" cy="647700"/>
                    </a:xfrm>
                    <a:prstGeom prst="rect">
                      <a:avLst/>
                    </a:prstGeom>
                    <a:noFill/>
                    <a:ln w="9525">
                      <a:noFill/>
                    </a:ln>
                  </pic:spPr>
                </pic:pic>
              </a:graphicData>
            </a:graphic>
          </wp:inline>
        </w:drawing>
      </w:r>
    </w:p>
    <w:p w14:paraId="626F0809">
      <w:pPr>
        <w:keepNext w:val="0"/>
        <w:keepLines w:val="0"/>
        <w:pageBreakBefore w:val="0"/>
        <w:widowControl w:val="0"/>
        <w:suppressLineNumbers w:val="0"/>
        <w:kinsoku/>
        <w:wordWrap/>
        <w:overflowPunct/>
        <w:topLinePunct w:val="0"/>
        <w:bidi w:val="0"/>
        <w:adjustRightInd/>
        <w:snapToGrid/>
        <w:ind w:firstLine="480" w:firstLineChars="200"/>
        <w:jc w:val="left"/>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宋体" w:cs="宋体"/>
          <w:kern w:val="0"/>
          <w:sz w:val="24"/>
          <w:szCs w:val="24"/>
          <w:lang w:val="en-US" w:eastAsia="zh-CN" w:bidi="ar"/>
        </w:rPr>
        <w:t>式中：</w:t>
      </w:r>
    </w:p>
    <w:p w14:paraId="43440148">
      <w:pPr>
        <w:keepNext w:val="0"/>
        <w:keepLines w:val="0"/>
        <w:pageBreakBefore w:val="0"/>
        <w:widowControl w:val="0"/>
        <w:suppressLineNumbers w:val="0"/>
        <w:kinsoku/>
        <w:wordWrap/>
        <w:overflowPunct/>
        <w:topLinePunct w:val="0"/>
        <w:bidi w:val="0"/>
        <w:adjustRightInd/>
        <w:snapToGrid/>
        <w:jc w:val="center"/>
        <w:rPr>
          <w:rFonts w:ascii="Times New Roman" w:hAnsi="Times New Roman"/>
        </w:rPr>
      </w:pPr>
      <w:r>
        <w:rPr>
          <w:rFonts w:ascii="Times New Roman" w:hAnsi="Times New Roman" w:eastAsia="宋体" w:cs="宋体"/>
          <w:kern w:val="0"/>
          <w:sz w:val="24"/>
          <w:szCs w:val="24"/>
          <w:lang w:val="en-US" w:eastAsia="zh-CN" w:bidi="ar"/>
        </w:rPr>
        <w:drawing>
          <wp:inline distT="0" distB="0" distL="114300" distR="114300">
            <wp:extent cx="4152900" cy="742950"/>
            <wp:effectExtent l="0" t="0" r="0" b="0"/>
            <wp:docPr id="25"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IMG_256"/>
                    <pic:cNvPicPr>
                      <a:picLocks noChangeAspect="1"/>
                    </pic:cNvPicPr>
                  </pic:nvPicPr>
                  <pic:blipFill>
                    <a:blip r:embed="rId14"/>
                    <a:stretch>
                      <a:fillRect/>
                    </a:stretch>
                  </pic:blipFill>
                  <pic:spPr>
                    <a:xfrm>
                      <a:off x="0" y="0"/>
                      <a:ext cx="4152900" cy="742950"/>
                    </a:xfrm>
                    <a:prstGeom prst="rect">
                      <a:avLst/>
                    </a:prstGeom>
                    <a:noFill/>
                    <a:ln w="9525">
                      <a:noFill/>
                    </a:ln>
                  </pic:spPr>
                </pic:pic>
              </a:graphicData>
            </a:graphic>
          </wp:inline>
        </w:drawing>
      </w:r>
    </w:p>
    <w:p w14:paraId="78CA073B">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18.验证集试样标准偏差与预测标准偏差的比值deviation of' prediction ratio of standard deviation of validation set to standard（</w:t>
      </w:r>
      <w:r>
        <w:rPr>
          <w:rFonts w:hint="eastAsia" w:ascii="Times New Roman" w:hAnsi="Times New Roman" w:eastAsia="仿宋_GB2312" w:cs="仿宋_GB2312"/>
          <w:i/>
          <w:iCs/>
          <w:color w:val="000000" w:themeColor="text1"/>
          <w:sz w:val="32"/>
          <w:szCs w:val="32"/>
          <w:lang w:val="en-US" w:eastAsia="zh-CN"/>
          <w14:textFill>
            <w14:solidFill>
              <w14:schemeClr w14:val="tx1"/>
            </w14:solidFill>
          </w14:textFill>
        </w:rPr>
        <w:t>RPD</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p>
    <w:p w14:paraId="34F12161">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用于评估近红外模型性能的指标。</w:t>
      </w:r>
    </w:p>
    <w:p w14:paraId="595A38C2">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19.重复性repeatability</w:t>
      </w:r>
    </w:p>
    <w:p w14:paraId="4F5AD4BE">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在同一实验室，由同一操作者使用同一台仪器，按相同的测试方法，在短时间内通过重新分样和重新装样，对同一被测样品,连续多次测定获得结果的一致性,以标准差计算，用</w:t>
      </w:r>
      <w:r>
        <w:rPr>
          <w:rFonts w:hint="eastAsia" w:ascii="Times New Roman" w:hAnsi="Times New Roman" w:eastAsia="仿宋_GB2312" w:cs="仿宋_GB2312"/>
          <w:i/>
          <w:iCs/>
          <w:color w:val="000000" w:themeColor="text1"/>
          <w:sz w:val="32"/>
          <w:szCs w:val="32"/>
          <w:lang w:val="en-US" w:eastAsia="zh-CN"/>
          <w14:textFill>
            <w14:solidFill>
              <w14:schemeClr w14:val="tx1"/>
            </w14:solidFill>
          </w14:textFill>
        </w:rPr>
        <w:t>r</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表示。</w:t>
      </w:r>
    </w:p>
    <w:p w14:paraId="55E3A48D">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20.再现性reproducibility</w:t>
      </w:r>
    </w:p>
    <w:p w14:paraId="13BD4033">
      <w:pPr>
        <w:keepNext w:val="0"/>
        <w:keepLines w:val="0"/>
        <w:pageBreakBefore w:val="0"/>
        <w:widowControl w:val="0"/>
        <w:kinsoku/>
        <w:wordWrap/>
        <w:overflowPunct/>
        <w:topLinePunct w:val="0"/>
        <w:bidi w:val="0"/>
        <w:adjustRightInd/>
        <w:snapToGrid/>
        <w:spacing w:line="600" w:lineRule="exact"/>
        <w:ind w:firstLine="640" w:firstLineChars="200"/>
        <w:rPr>
          <w:rFonts w:hint="default"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在不同的实验室，由不同操作者使用同一型号的不同仪器，按相同的测试方法，对同一被测样品进行测定，所获得结果的一致性，以标准差计算，用</w:t>
      </w:r>
      <w:r>
        <w:rPr>
          <w:rFonts w:hint="eastAsia" w:ascii="Times New Roman" w:hAnsi="Times New Roman" w:eastAsia="仿宋_GB2312" w:cs="仿宋_GB2312"/>
          <w:i/>
          <w:iCs/>
          <w:color w:val="000000" w:themeColor="text1"/>
          <w:sz w:val="32"/>
          <w:szCs w:val="32"/>
          <w:lang w:val="en-US" w:eastAsia="zh-CN"/>
          <w14:textFill>
            <w14:solidFill>
              <w14:schemeClr w14:val="tx1"/>
            </w14:solidFill>
          </w14:textFill>
        </w:rPr>
        <w:t>R</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表示。</w:t>
      </w:r>
    </w:p>
    <w:p w14:paraId="43E76DDA">
      <w:pPr>
        <w:keepNext w:val="0"/>
        <w:keepLines w:val="0"/>
        <w:pageBreakBefore w:val="0"/>
        <w:widowControl w:val="0"/>
        <w:kinsoku/>
        <w:wordWrap/>
        <w:overflowPunct/>
        <w:topLinePunct w:val="0"/>
        <w:bidi w:val="0"/>
        <w:adjustRightInd/>
        <w:snapToGrid/>
        <w:spacing w:line="600" w:lineRule="exact"/>
        <w:ind w:firstLine="643" w:firstLineChars="200"/>
        <w:rPr>
          <w:rFonts w:ascii="Times New Roman" w:hAnsi="Times New Roman" w:eastAsia="楷体_GB2312" w:cs="楷体_GB2312"/>
          <w:b/>
          <w:bCs/>
          <w:color w:val="000000" w:themeColor="text1"/>
          <w:sz w:val="32"/>
          <w:szCs w:val="32"/>
          <w14:textFill>
            <w14:solidFill>
              <w14:schemeClr w14:val="tx1"/>
            </w14:solidFill>
          </w14:textFill>
        </w:rPr>
      </w:pPr>
      <w:r>
        <w:rPr>
          <w:rFonts w:hint="eastAsia" w:ascii="Times New Roman" w:hAnsi="Times New Roman" w:eastAsia="楷体_GB2312" w:cs="楷体_GB2312"/>
          <w:b/>
          <w:bCs/>
          <w:color w:val="000000" w:themeColor="text1"/>
          <w:sz w:val="32"/>
          <w:szCs w:val="32"/>
          <w14:textFill>
            <w14:solidFill>
              <w14:schemeClr w14:val="tx1"/>
            </w14:solidFill>
          </w14:textFill>
        </w:rPr>
        <w:t>（三）原理</w:t>
      </w:r>
    </w:p>
    <w:p w14:paraId="5F47686B">
      <w:pPr>
        <w:keepNext w:val="0"/>
        <w:keepLines w:val="0"/>
        <w:pageBreakBefore w:val="0"/>
        <w:widowControl w:val="0"/>
        <w:kinsoku/>
        <w:wordWrap/>
        <w:overflowPunct/>
        <w:topLinePunct w:val="0"/>
        <w:bidi w:val="0"/>
        <w:adjustRightInd/>
        <w:snapToGrid/>
        <w:spacing w:line="600" w:lineRule="exact"/>
        <w:ind w:firstLine="640" w:firstLineChars="200"/>
        <w:rPr>
          <w:rFonts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近红外光谱分析法（Near Infrared Reflectance Spectroscopy, NIRS）是近年来随着分析化学、物理学与信息技术不断发展逐渐兴起的一种新型定量分析方法。近红外光谱图像中蕴含着丰富的光谱特征信息（如图1所示）。其原理是利用淀粉中的C-H、N-H、O-H等化学键的泛频震动或转动对近红外光的吸收特性，采用导数、标准正态变化（SNV）、多元散射校正（MSC）等多种光谱预处理方法，结合偏最小二乘法（PLS）、主成分分析法（PCA）等化学计量学方法构建近红外光谱与样品直链淀粉含量之间的关系，即</w:t>
      </w:r>
      <w:r>
        <w:rPr>
          <w:rFonts w:hint="eastAsia" w:ascii="Times New Roman" w:hAnsi="Times New Roman" w:eastAsia="仿宋_GB2312" w:cs="仿宋_GB2312"/>
          <w:color w:val="000000" w:themeColor="text1"/>
          <w:sz w:val="32"/>
          <w:szCs w:val="32"/>
          <w14:textFill>
            <w14:solidFill>
              <w14:schemeClr w14:val="tx1"/>
            </w14:solidFill>
          </w14:textFill>
        </w:rPr>
        <w:t>定量分析模型</w:t>
      </w:r>
      <w:r>
        <w:rPr>
          <w:rFonts w:hint="eastAsia" w:ascii="Times New Roman" w:hAnsi="Times New Roman" w:eastAsia="仿宋_GB2312" w:cs="仿宋_GB2312"/>
          <w:color w:val="000000" w:themeColor="text1"/>
          <w:sz w:val="32"/>
          <w:szCs w:val="32"/>
          <w:lang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然后采集</w:t>
      </w:r>
      <w:r>
        <w:rPr>
          <w:rFonts w:hint="eastAsia" w:ascii="Times New Roman" w:hAnsi="Times New Roman" w:eastAsia="仿宋_GB2312" w:cs="仿宋_GB2312"/>
          <w:color w:val="000000" w:themeColor="text1"/>
          <w:sz w:val="32"/>
          <w:szCs w:val="32"/>
          <w:lang w:eastAsia="zh-CN"/>
          <w14:textFill>
            <w14:solidFill>
              <w14:schemeClr w14:val="tx1"/>
            </w14:solidFill>
          </w14:textFill>
        </w:rPr>
        <w:t>样品</w:t>
      </w:r>
      <w:r>
        <w:rPr>
          <w:rFonts w:hint="eastAsia" w:ascii="Times New Roman" w:hAnsi="Times New Roman" w:eastAsia="仿宋_GB2312" w:cs="仿宋_GB2312"/>
          <w:color w:val="000000" w:themeColor="text1"/>
          <w:sz w:val="32"/>
          <w:szCs w:val="32"/>
          <w14:textFill>
            <w14:solidFill>
              <w14:schemeClr w14:val="tx1"/>
            </w14:solidFill>
          </w14:textFill>
        </w:rPr>
        <w:t>光谱数据输入到分析模型，从而快速、准确的预测</w:t>
      </w:r>
      <w:r>
        <w:rPr>
          <w:rFonts w:hint="eastAsia" w:ascii="Times New Roman" w:hAnsi="Times New Roman" w:eastAsia="仿宋_GB2312" w:cs="仿宋_GB2312"/>
          <w:color w:val="000000" w:themeColor="text1"/>
          <w:sz w:val="32"/>
          <w:szCs w:val="32"/>
          <w:lang w:eastAsia="zh-CN"/>
          <w14:textFill>
            <w14:solidFill>
              <w14:schemeClr w14:val="tx1"/>
            </w14:solidFill>
          </w14:textFill>
        </w:rPr>
        <w:t>样品</w:t>
      </w:r>
      <w:r>
        <w:rPr>
          <w:rFonts w:hint="eastAsia" w:ascii="Times New Roman" w:hAnsi="Times New Roman" w:eastAsia="仿宋_GB2312" w:cs="仿宋_GB2312"/>
          <w:color w:val="000000" w:themeColor="text1"/>
          <w:sz w:val="32"/>
          <w:szCs w:val="32"/>
          <w14:textFill>
            <w14:solidFill>
              <w14:schemeClr w14:val="tx1"/>
            </w14:solidFill>
          </w14:textFill>
        </w:rPr>
        <w:t>的组成和性质。通常情况下在完成光谱扫描的瞬间就可以即时得到结果，在扫描时也无需对样品进行复杂的前处理过程，快速高效地完成产品的质量检测工作，极大地减少劳动力和试剂使用，已广泛应用于食品检测。</w:t>
      </w:r>
    </w:p>
    <w:p w14:paraId="6017DE04">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p>
    <w:p w14:paraId="0A4BF7D6">
      <w:pPr>
        <w:keepNext w:val="0"/>
        <w:keepLines w:val="0"/>
        <w:pageBreakBefore w:val="0"/>
        <w:widowControl w:val="0"/>
        <w:kinsoku/>
        <w:wordWrap/>
        <w:overflowPunct/>
        <w:topLinePunct w:val="0"/>
        <w:bidi w:val="0"/>
        <w:adjustRightInd/>
        <w:snapToGrid/>
        <w:spacing w:line="360" w:lineRule="auto"/>
        <w:jc w:val="center"/>
        <w:rPr>
          <w:rFonts w:ascii="Times New Roman" w:hAnsi="Times New Roman" w:cs="Segoe UI"/>
          <w:sz w:val="24"/>
          <w:shd w:val="clear" w:color="auto" w:fill="FFFFFF"/>
        </w:rPr>
      </w:pPr>
      <w:r>
        <w:rPr>
          <w:rFonts w:ascii="Times New Roman" w:hAnsi="Times New Roman" w:cs="Segoe UI"/>
          <w:sz w:val="24"/>
          <w:shd w:val="clear" w:color="auto" w:fill="FFFFFF"/>
        </w:rPr>
        <w:drawing>
          <wp:inline distT="0" distB="0" distL="114300" distR="114300">
            <wp:extent cx="4597400" cy="2411730"/>
            <wp:effectExtent l="0" t="0" r="12700" b="7620"/>
            <wp:docPr id="26" name="图片 13" descr="07beec22-1e60-4e5c-8f29-a116b651e5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07beec22-1e60-4e5c-8f29-a116b651e56c"/>
                    <pic:cNvPicPr>
                      <a:picLocks noChangeAspect="1"/>
                    </pic:cNvPicPr>
                  </pic:nvPicPr>
                  <pic:blipFill>
                    <a:blip r:embed="rId15"/>
                    <a:stretch>
                      <a:fillRect/>
                    </a:stretch>
                  </pic:blipFill>
                  <pic:spPr>
                    <a:xfrm>
                      <a:off x="0" y="0"/>
                      <a:ext cx="4597400" cy="2411730"/>
                    </a:xfrm>
                    <a:prstGeom prst="rect">
                      <a:avLst/>
                    </a:prstGeom>
                    <a:noFill/>
                    <a:ln>
                      <a:noFill/>
                    </a:ln>
                  </pic:spPr>
                </pic:pic>
              </a:graphicData>
            </a:graphic>
          </wp:inline>
        </w:drawing>
      </w:r>
    </w:p>
    <w:p w14:paraId="3A5EFC3A">
      <w:pPr>
        <w:keepNext w:val="0"/>
        <w:keepLines w:val="0"/>
        <w:pageBreakBefore w:val="0"/>
        <w:widowControl w:val="0"/>
        <w:kinsoku/>
        <w:wordWrap/>
        <w:overflowPunct/>
        <w:topLinePunct w:val="0"/>
        <w:bidi w:val="0"/>
        <w:adjustRightInd/>
        <w:snapToGrid/>
        <w:spacing w:line="360" w:lineRule="auto"/>
        <w:jc w:val="center"/>
        <w:rPr>
          <w:rFonts w:hint="eastAsia" w:ascii="Times New Roman" w:hAnsi="Times New Roman" w:cs="Segoe UI"/>
          <w:sz w:val="24"/>
          <w:shd w:val="clear" w:color="auto" w:fill="FFFFFF"/>
        </w:rPr>
      </w:pPr>
      <w:r>
        <w:rPr>
          <w:rFonts w:hint="eastAsia" w:ascii="Times New Roman" w:hAnsi="Times New Roman" w:cs="Segoe UI"/>
          <w:sz w:val="22"/>
          <w:szCs w:val="22"/>
          <w:shd w:val="clear" w:color="auto" w:fill="FFFFFF"/>
        </w:rPr>
        <w:t>图1 近红外光谱图</w:t>
      </w:r>
    </w:p>
    <w:p w14:paraId="064CBDFD">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依据以上技术机理，本标准方法原理如下：</w:t>
      </w:r>
    </w:p>
    <w:p w14:paraId="77882F24">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利用大米中含有的（C-H、N-H、O-H）等化学键的倍频或合频振动对近红外光的吸收特性，通过化学计量学方法建立大米近红外光谱与其直链淀粉含量之间的相关关系，实现大米中直链淀粉含量的快速测量。</w:t>
      </w:r>
    </w:p>
    <w:p w14:paraId="149BA1CC">
      <w:pPr>
        <w:keepNext w:val="0"/>
        <w:keepLines w:val="0"/>
        <w:pageBreakBefore w:val="0"/>
        <w:widowControl w:val="0"/>
        <w:kinsoku/>
        <w:wordWrap/>
        <w:overflowPunct/>
        <w:topLinePunct w:val="0"/>
        <w:bidi w:val="0"/>
        <w:adjustRightInd/>
        <w:snapToGrid/>
        <w:spacing w:line="600" w:lineRule="exact"/>
        <w:ind w:firstLine="643" w:firstLineChars="200"/>
        <w:rPr>
          <w:rFonts w:ascii="Times New Roman" w:hAnsi="Times New Roman" w:eastAsia="楷体_GB2312" w:cs="楷体_GB2312"/>
          <w:b/>
          <w:bCs/>
          <w:color w:val="000000" w:themeColor="text1"/>
          <w:sz w:val="32"/>
          <w:szCs w:val="32"/>
          <w14:textFill>
            <w14:solidFill>
              <w14:schemeClr w14:val="tx1"/>
            </w14:solidFill>
          </w14:textFill>
        </w:rPr>
      </w:pPr>
      <w:r>
        <w:rPr>
          <w:rFonts w:hint="eastAsia" w:ascii="Times New Roman" w:hAnsi="Times New Roman" w:eastAsia="楷体_GB2312" w:cs="楷体_GB2312"/>
          <w:b/>
          <w:bCs/>
          <w:color w:val="000000" w:themeColor="text1"/>
          <w:sz w:val="32"/>
          <w:szCs w:val="32"/>
          <w14:textFill>
            <w14:solidFill>
              <w14:schemeClr w14:val="tx1"/>
            </w14:solidFill>
          </w14:textFill>
        </w:rPr>
        <w:t>（四）仪器设备</w:t>
      </w:r>
    </w:p>
    <w:p w14:paraId="13DCF693">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根据本标准方法需求，主要使用近红外分析仪、样品粉碎设备，具体设备要求如下：</w:t>
      </w:r>
    </w:p>
    <w:p w14:paraId="3A547467">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1.近红外分析仪：基于</w:t>
      </w:r>
      <w:r>
        <w:rPr>
          <w:rFonts w:hint="eastAsia" w:ascii="Times New Roman" w:hAnsi="Times New Roman" w:eastAsia="仿宋_GB2312" w:cs="仿宋_GB2312"/>
          <w:color w:val="000000" w:themeColor="text1"/>
          <w:sz w:val="32"/>
          <w:szCs w:val="32"/>
          <w:lang w:eastAsia="zh-CN"/>
          <w14:textFill>
            <w14:solidFill>
              <w14:schemeClr w14:val="tx1"/>
            </w14:solidFill>
          </w14:textFill>
        </w:rPr>
        <w:t>大米</w:t>
      </w:r>
      <w:r>
        <w:rPr>
          <w:rFonts w:hint="eastAsia" w:ascii="Times New Roman" w:hAnsi="Times New Roman" w:eastAsia="仿宋_GB2312" w:cs="仿宋_GB2312"/>
          <w:color w:val="000000" w:themeColor="text1"/>
          <w:sz w:val="32"/>
          <w:szCs w:val="32"/>
          <w14:textFill>
            <w14:solidFill>
              <w14:schemeClr w14:val="tx1"/>
            </w14:solidFill>
          </w14:textFill>
        </w:rPr>
        <w:t>样品近红外光谱区的吸收特性测定</w:t>
      </w:r>
      <w:r>
        <w:rPr>
          <w:rFonts w:hint="eastAsia" w:ascii="Times New Roman" w:hAnsi="Times New Roman" w:eastAsia="仿宋_GB2312" w:cs="仿宋_GB2312"/>
          <w:color w:val="000000" w:themeColor="text1"/>
          <w:sz w:val="32"/>
          <w:szCs w:val="32"/>
          <w:lang w:eastAsia="zh-CN"/>
          <w14:textFill>
            <w14:solidFill>
              <w14:schemeClr w14:val="tx1"/>
            </w14:solidFill>
          </w14:textFill>
        </w:rPr>
        <w:t>大米中直链淀粉</w:t>
      </w:r>
      <w:r>
        <w:rPr>
          <w:rFonts w:hint="eastAsia" w:ascii="Times New Roman" w:hAnsi="Times New Roman" w:eastAsia="仿宋_GB2312" w:cs="仿宋_GB2312"/>
          <w:color w:val="000000" w:themeColor="text1"/>
          <w:sz w:val="32"/>
          <w:szCs w:val="32"/>
          <w14:textFill>
            <w14:solidFill>
              <w14:schemeClr w14:val="tx1"/>
            </w14:solidFill>
          </w14:textFill>
        </w:rPr>
        <w:t>含量的分析仪器，</w:t>
      </w:r>
      <w:r>
        <w:rPr>
          <w:rFonts w:hint="eastAsia" w:ascii="Times New Roman" w:hAnsi="Times New Roman" w:eastAsia="仿宋_GB2312" w:cs="仿宋_GB2312"/>
          <w:color w:val="000000" w:themeColor="text1"/>
          <w:sz w:val="32"/>
          <w:szCs w:val="32"/>
          <w:lang w:eastAsia="zh-CN"/>
          <w14:textFill>
            <w14:solidFill>
              <w14:schemeClr w14:val="tx1"/>
            </w14:solidFill>
          </w14:textFill>
        </w:rPr>
        <w:t>配有光源、分光系统、检测器、样品台、测量附件和配套的近红外软件等。应具备自我诊断功能，用于检测仪器的</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暗电流</w:t>
      </w:r>
      <w:r>
        <w:rPr>
          <w:rFonts w:hint="eastAsia" w:ascii="Times New Roman" w:hAnsi="Times New Roman" w:eastAsia="仿宋_GB2312" w:cs="仿宋_GB2312"/>
          <w:color w:val="000000" w:themeColor="text1"/>
          <w:sz w:val="32"/>
          <w:szCs w:val="32"/>
          <w:lang w:eastAsia="zh-CN"/>
          <w14:textFill>
            <w14:solidFill>
              <w14:schemeClr w14:val="tx1"/>
            </w14:solidFill>
          </w14:textFill>
        </w:rPr>
        <w:t>、</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参考光谱</w:t>
      </w:r>
      <w:r>
        <w:rPr>
          <w:rFonts w:hint="eastAsia" w:ascii="Times New Roman" w:hAnsi="Times New Roman" w:eastAsia="仿宋_GB2312" w:cs="仿宋_GB2312"/>
          <w:color w:val="000000" w:themeColor="text1"/>
          <w:sz w:val="32"/>
          <w:szCs w:val="32"/>
          <w:lang w:eastAsia="zh-CN"/>
          <w14:textFill>
            <w14:solidFill>
              <w14:schemeClr w14:val="tx1"/>
            </w14:solidFill>
          </w14:textFill>
        </w:rPr>
        <w:t>、波长准确度等；</w:t>
      </w:r>
      <w:r>
        <w:rPr>
          <w:rFonts w:hint="eastAsia" w:ascii="Times New Roman" w:hAnsi="Times New Roman" w:eastAsia="仿宋_GB2312" w:cs="仿宋_GB2312"/>
          <w:color w:val="000000" w:themeColor="text1"/>
          <w:sz w:val="32"/>
          <w:szCs w:val="32"/>
          <w14:textFill>
            <w14:solidFill>
              <w14:schemeClr w14:val="tx1"/>
            </w14:solidFill>
          </w14:textFill>
        </w:rPr>
        <w:t>具有近红外光谱数据的收集、存储、分析和计算等功能，能预警异常样品。</w:t>
      </w:r>
    </w:p>
    <w:p w14:paraId="4FDE515C">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2.样品粉碎设备：磨膛材料不吸水，密闭，无死角，便于清理，能迅速而均匀粉碎不少于200g样品，达到所需粒度要求</w:t>
      </w:r>
      <w:r>
        <w:rPr>
          <w:rFonts w:hint="eastAsia" w:ascii="Times New Roman" w:hAnsi="Times New Roman" w:eastAsia="仿宋_GB2312" w:cs="仿宋_GB2312"/>
          <w:color w:val="000000" w:themeColor="text1"/>
          <w:sz w:val="32"/>
          <w:szCs w:val="32"/>
          <w:lang w:eastAsia="zh-CN"/>
          <w14:textFill>
            <w14:solidFill>
              <w14:schemeClr w14:val="tx1"/>
            </w14:solidFill>
          </w14:textFill>
        </w:rPr>
        <w:t>，推荐使用配置</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0.5mm筛片的旋风磨或其他等效研磨设备</w:t>
      </w:r>
      <w:r>
        <w:rPr>
          <w:rFonts w:hint="eastAsia" w:ascii="Times New Roman" w:hAnsi="Times New Roman" w:eastAsia="仿宋_GB2312" w:cs="仿宋_GB2312"/>
          <w:color w:val="000000" w:themeColor="text1"/>
          <w:sz w:val="32"/>
          <w:szCs w:val="32"/>
          <w14:textFill>
            <w14:solidFill>
              <w14:schemeClr w14:val="tx1"/>
            </w14:solidFill>
          </w14:textFill>
        </w:rPr>
        <w:t>。粉碎样品时，磨膛应无明显发热现象。</w:t>
      </w:r>
    </w:p>
    <w:p w14:paraId="31E75B3A">
      <w:pPr>
        <w:keepNext w:val="0"/>
        <w:keepLines w:val="0"/>
        <w:pageBreakBefore w:val="0"/>
        <w:widowControl w:val="0"/>
        <w:kinsoku/>
        <w:wordWrap/>
        <w:overflowPunct/>
        <w:topLinePunct w:val="0"/>
        <w:bidi w:val="0"/>
        <w:adjustRightInd/>
        <w:snapToGrid/>
        <w:spacing w:line="600" w:lineRule="exact"/>
        <w:ind w:firstLine="643" w:firstLineChars="200"/>
        <w:rPr>
          <w:rFonts w:ascii="Times New Roman" w:hAnsi="Times New Roman" w:eastAsia="楷体_GB2312" w:cs="楷体_GB2312"/>
          <w:b/>
          <w:bCs/>
          <w:color w:val="000000" w:themeColor="text1"/>
          <w:sz w:val="32"/>
          <w:szCs w:val="32"/>
          <w14:textFill>
            <w14:solidFill>
              <w14:schemeClr w14:val="tx1"/>
            </w14:solidFill>
          </w14:textFill>
        </w:rPr>
      </w:pPr>
      <w:r>
        <w:rPr>
          <w:rFonts w:hint="eastAsia" w:ascii="Times New Roman" w:hAnsi="Times New Roman" w:eastAsia="楷体_GB2312" w:cs="楷体_GB2312"/>
          <w:b/>
          <w:bCs/>
          <w:color w:val="000000" w:themeColor="text1"/>
          <w:sz w:val="32"/>
          <w:szCs w:val="32"/>
          <w14:textFill>
            <w14:solidFill>
              <w14:schemeClr w14:val="tx1"/>
            </w14:solidFill>
          </w14:textFill>
        </w:rPr>
        <w:t>（五）试样制备</w:t>
      </w:r>
    </w:p>
    <w:p w14:paraId="486BCA1C">
      <w:pPr>
        <w:pStyle w:val="13"/>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1.样品集必须有代表性。</w:t>
      </w:r>
      <w:r>
        <w:rPr>
          <w:rFonts w:hint="eastAsia" w:ascii="Times New Roman" w:hAnsi="Times New Roman" w:eastAsia="仿宋_GB2312" w:cs="仿宋_GB2312"/>
          <w:color w:val="000000" w:themeColor="text1"/>
          <w:sz w:val="32"/>
          <w:szCs w:val="32"/>
          <w:lang w:eastAsia="zh-CN"/>
          <w14:textFill>
            <w14:solidFill>
              <w14:schemeClr w14:val="tx1"/>
            </w14:solidFill>
          </w14:textFill>
        </w:rPr>
        <w:t>近红外光谱分析的应用对象大多数是复杂的样品体系，不可能通过人工配制获得校正样品，必须收集实际样品，并且有可能大部分为重复样品。因此，必须从中选择代表性强的样品建立定标模型。这样不仅可以提高建模速度、减少模型库的存储空间，更为重要的是，当遇到模型界外样品时，通过较少的样品，便可扩大模型的适用范围，便于模型的维护和升级。</w:t>
      </w:r>
    </w:p>
    <w:p w14:paraId="0130EB15">
      <w:pPr>
        <w:pStyle w:val="13"/>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eastAsia="zh-CN"/>
          <w14:textFill>
            <w14:solidFill>
              <w14:schemeClr w14:val="tx1"/>
            </w14:solidFill>
          </w14:textFill>
        </w:rPr>
      </w:pPr>
      <w:r>
        <w:rPr>
          <w:rFonts w:hint="eastAsia" w:ascii="Times New Roman" w:hAnsi="Times New Roman" w:eastAsia="仿宋_GB2312" w:cs="仿宋_GB2312"/>
          <w:color w:val="000000" w:themeColor="text1"/>
          <w:sz w:val="32"/>
          <w:szCs w:val="32"/>
          <w:lang w:eastAsia="zh-CN"/>
          <w14:textFill>
            <w14:solidFill>
              <w14:schemeClr w14:val="tx1"/>
            </w14:solidFill>
          </w14:textFill>
        </w:rPr>
        <w:t>所谓代表性就是建模样品集包含的有效信息与背景信息的范围要足够宽，从待测组分含量到样品来源等都要代表待测集这个大群体。理想的校正集必须包含未来待测样品中可能存在的化学组成，其浓度（或性质）范围应超过未来待测样品中可能遇到的情况，且样品的物化参数应是均匀分布的。</w:t>
      </w:r>
    </w:p>
    <w:p w14:paraId="75F7CFE1">
      <w:pPr>
        <w:pStyle w:val="13"/>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eastAsia="zh-CN"/>
          <w14:textFill>
            <w14:solidFill>
              <w14:schemeClr w14:val="tx1"/>
            </w14:solidFill>
          </w14:textFill>
        </w:rPr>
      </w:pPr>
      <w:r>
        <w:rPr>
          <w:rFonts w:hint="eastAsia" w:ascii="Times New Roman" w:hAnsi="Times New Roman" w:eastAsia="仿宋_GB2312" w:cs="仿宋_GB2312"/>
          <w:color w:val="000000" w:themeColor="text1"/>
          <w:sz w:val="32"/>
          <w:szCs w:val="32"/>
          <w:lang w:eastAsia="zh-CN"/>
          <w14:textFill>
            <w14:solidFill>
              <w14:schemeClr w14:val="tx1"/>
            </w14:solidFill>
          </w14:textFill>
        </w:rPr>
        <w:t>挑选代表性样品的方法为数众多。首先，可根据样品的品种、产地、年份、形状等特征进行人工挑选；也可按照已知组分的化学值，在综合考虑常量成分与微量成分及其成分含量范围的基础上，通过正交实验设计等方法进行人工设计挑选，还可以根据样品的近红外光谱特征用数学方法进行计算机挑选，如</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Kennard-Stone法、SPXY法和聚类法等。因此，本标准</w:t>
      </w:r>
      <w:r>
        <w:rPr>
          <w:rFonts w:hint="eastAsia" w:ascii="Times New Roman" w:hAnsi="Times New Roman" w:eastAsia="仿宋_GB2312" w:cs="仿宋_GB2312"/>
          <w:color w:val="000000" w:themeColor="text1"/>
          <w:sz w:val="32"/>
          <w:szCs w:val="32"/>
          <w:lang w:eastAsia="zh-CN"/>
          <w14:textFill>
            <w14:solidFill>
              <w14:schemeClr w14:val="tx1"/>
            </w14:solidFill>
          </w14:textFill>
        </w:rPr>
        <w:t>明确指出需要“代表性的样品”。</w:t>
      </w:r>
    </w:p>
    <w:p w14:paraId="232EC2E3">
      <w:pPr>
        <w:keepNext w:val="0"/>
        <w:keepLines w:val="0"/>
        <w:widowControl/>
        <w:suppressLineNumbers w:val="0"/>
        <w:ind w:firstLine="640" w:firstLineChars="200"/>
        <w:jc w:val="left"/>
        <w:rPr>
          <w:rFonts w:hint="eastAsia" w:ascii="Times New Roman" w:hAnsi="Times New Roman" w:eastAsia="仿宋_GB2312" w:cs="仿宋_GB2312"/>
          <w:color w:val="000000" w:themeColor="text1"/>
          <w:sz w:val="32"/>
          <w:szCs w:val="32"/>
          <w:lang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样品制备是近红外测量的基础环节，直接决定了光谱的代表性和可靠性。样品的均匀性是首要前提。固体样品常存在颗粒大小不均、成分分布差异等问题，这会导致近红外光与样品的相互作用不一致，光谱重现性变差。对于大米等颗粒性样品，需通过粉碎等手段细化颗粒，使粒径分布集中。但粉碎过程需适度，过度粉碎可能引发颗粒团聚，形成二次颗粒，反而破坏均匀性，同时要避免粉碎过程中因摩擦生热导致样品成分发生化学变化，对热敏性样品可采用低温粉碎技术。粉碎后的样品需通过过筛处理，具体目数需根据样品特性调整，确保颗粒大小符合测量要求。其次，环境因素对近红外测量的干扰不可忽视，需采取有效措施进行控制。温度变化会导致样品的分子振动状态改变，引起光谱基线漂移和峰位偏移，同时也会影响仪器的稳定性。因此，测量环境应保持恒温，一般建议温度控制在 20-35℃，温差不宜超过 ±1℃。对于温度敏感的样品，需在样品制备和测量过程中采取保温措施，避免样品温度发生显著变化。</w:t>
      </w:r>
      <w:r>
        <w:rPr>
          <w:rFonts w:hint="eastAsia" w:ascii="Times New Roman" w:hAnsi="Times New Roman" w:eastAsia="仿宋_GB2312" w:cs="仿宋_GB2312"/>
          <w:color w:val="000000" w:themeColor="text1"/>
          <w:sz w:val="32"/>
          <w:szCs w:val="32"/>
          <w:lang w:eastAsia="zh-CN"/>
          <w14:textFill>
            <w14:solidFill>
              <w14:schemeClr w14:val="tx1"/>
            </w14:solidFill>
          </w14:textFill>
        </w:rPr>
        <w:t>因此，本标准要求按</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GB/T 5491</w:t>
      </w:r>
      <w:r>
        <w:rPr>
          <w:rFonts w:hint="eastAsia" w:ascii="Times New Roman" w:hAnsi="Times New Roman" w:eastAsia="仿宋_GB2312" w:cs="仿宋_GB2312"/>
          <w:color w:val="000000" w:themeColor="text1"/>
          <w:sz w:val="32"/>
          <w:szCs w:val="32"/>
          <w:lang w:eastAsia="zh-CN"/>
          <w14:textFill>
            <w14:solidFill>
              <w14:schemeClr w14:val="tx1"/>
            </w14:solidFill>
          </w14:textFill>
        </w:rPr>
        <w:t>进行分样，然后磨成粉末，以保证样品的均匀性和紧实度，避免因样品颗粒的太大等带来的影响。</w:t>
      </w:r>
    </w:p>
    <w:p w14:paraId="27F82748">
      <w:pPr>
        <w:pStyle w:val="13"/>
        <w:keepNext w:val="0"/>
        <w:keepLines w:val="0"/>
        <w:pageBreakBefore w:val="0"/>
        <w:widowControl w:val="0"/>
        <w:kinsoku/>
        <w:wordWrap/>
        <w:overflowPunct/>
        <w:topLinePunct w:val="0"/>
        <w:bidi w:val="0"/>
        <w:adjustRightInd/>
        <w:snapToGrid/>
        <w:spacing w:line="600" w:lineRule="exact"/>
        <w:ind w:firstLine="640" w:firstLineChars="200"/>
        <w:rPr>
          <w:rFonts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lang w:eastAsia="zh-CN"/>
          <w14:textFill>
            <w14:solidFill>
              <w14:schemeClr w14:val="tx1"/>
            </w14:solidFill>
          </w14:textFill>
        </w:rPr>
        <w:t>综上，</w:t>
      </w:r>
      <w:r>
        <w:rPr>
          <w:rFonts w:hint="eastAsia" w:ascii="Times New Roman" w:hAnsi="Times New Roman" w:eastAsia="仿宋_GB2312" w:cs="仿宋_GB2312"/>
          <w:color w:val="000000" w:themeColor="text1"/>
          <w:sz w:val="32"/>
          <w:szCs w:val="32"/>
          <w14:textFill>
            <w14:solidFill>
              <w14:schemeClr w14:val="tx1"/>
            </w14:solidFill>
          </w14:textFill>
        </w:rPr>
        <w:t>本标准</w:t>
      </w:r>
      <w:r>
        <w:rPr>
          <w:rFonts w:hint="eastAsia" w:ascii="Times New Roman" w:hAnsi="Times New Roman" w:eastAsia="仿宋_GB2312" w:cs="仿宋_GB2312"/>
          <w:color w:val="000000" w:themeColor="text1"/>
          <w:sz w:val="32"/>
          <w:szCs w:val="32"/>
          <w:lang w:eastAsia="zh-CN"/>
          <w14:textFill>
            <w14:solidFill>
              <w14:schemeClr w14:val="tx1"/>
            </w14:solidFill>
          </w14:textFill>
        </w:rPr>
        <w:t>规定</w:t>
      </w:r>
      <w:r>
        <w:rPr>
          <w:rFonts w:hint="eastAsia" w:ascii="Times New Roman" w:hAnsi="Times New Roman" w:eastAsia="仿宋_GB2312" w:cs="仿宋_GB2312"/>
          <w:color w:val="000000" w:themeColor="text1"/>
          <w:sz w:val="32"/>
          <w:szCs w:val="32"/>
          <w14:textFill>
            <w14:solidFill>
              <w14:schemeClr w14:val="tx1"/>
            </w14:solidFill>
          </w14:textFill>
        </w:rPr>
        <w:t>试样</w:t>
      </w:r>
      <w:r>
        <w:rPr>
          <w:rFonts w:hint="eastAsia" w:ascii="Times New Roman" w:hAnsi="Times New Roman" w:eastAsia="仿宋_GB2312" w:cs="仿宋_GB2312"/>
          <w:color w:val="000000" w:themeColor="text1"/>
          <w:sz w:val="32"/>
          <w:szCs w:val="32"/>
          <w:lang w:eastAsia="zh-CN"/>
          <w14:textFill>
            <w14:solidFill>
              <w14:schemeClr w14:val="tx1"/>
            </w14:solidFill>
          </w14:textFill>
        </w:rPr>
        <w:t>制备条件为“按</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GB/T 5491规定的方法</w:t>
      </w:r>
      <w:r>
        <w:rPr>
          <w:rFonts w:hint="eastAsia" w:ascii="Times New Roman" w:hAnsi="Times New Roman" w:eastAsia="仿宋_GB2312" w:cs="仿宋_GB2312"/>
          <w:color w:val="000000" w:themeColor="text1"/>
          <w:sz w:val="32"/>
          <w:szCs w:val="32"/>
          <w14:textFill>
            <w14:solidFill>
              <w14:schemeClr w14:val="tx1"/>
            </w14:solidFill>
          </w14:textFill>
        </w:rPr>
        <w:t>取代表性的样品不少于200g，磨细至颗粒小于2mm，盛入清洁、干燥、防潮容器内备用。在建立</w:t>
      </w:r>
      <w:r>
        <w:rPr>
          <w:rFonts w:hint="eastAsia" w:ascii="Times New Roman" w:hAnsi="Times New Roman" w:eastAsia="仿宋_GB2312" w:cs="仿宋_GB2312"/>
          <w:color w:val="000000" w:themeColor="text1"/>
          <w:sz w:val="32"/>
          <w:szCs w:val="32"/>
          <w:lang w:eastAsia="zh-CN"/>
          <w14:textFill>
            <w14:solidFill>
              <w14:schemeClr w14:val="tx1"/>
            </w14:solidFill>
          </w14:textFill>
        </w:rPr>
        <w:t>定标模型时</w:t>
      </w:r>
      <w:r>
        <w:rPr>
          <w:rFonts w:hint="eastAsia" w:ascii="Times New Roman" w:hAnsi="Times New Roman" w:eastAsia="仿宋_GB2312" w:cs="仿宋_GB2312"/>
          <w:color w:val="000000" w:themeColor="text1"/>
          <w:sz w:val="32"/>
          <w:szCs w:val="32"/>
          <w14:textFill>
            <w14:solidFill>
              <w14:schemeClr w14:val="tx1"/>
            </w14:solidFill>
          </w14:textFill>
        </w:rPr>
        <w:t>和检测时，样品</w:t>
      </w:r>
      <w:r>
        <w:rPr>
          <w:rFonts w:hint="eastAsia" w:ascii="Times New Roman" w:hAnsi="Times New Roman" w:eastAsia="仿宋_GB2312" w:cs="仿宋_GB2312"/>
          <w:color w:val="000000" w:themeColor="text1"/>
          <w:sz w:val="32"/>
          <w:szCs w:val="32"/>
          <w:lang w:eastAsia="zh-CN"/>
          <w14:textFill>
            <w14:solidFill>
              <w14:schemeClr w14:val="tx1"/>
            </w14:solidFill>
          </w14:textFill>
        </w:rPr>
        <w:t>加工精度、粉碎</w:t>
      </w:r>
      <w:r>
        <w:rPr>
          <w:rFonts w:hint="eastAsia" w:ascii="Times New Roman" w:hAnsi="Times New Roman" w:eastAsia="仿宋_GB2312" w:cs="仿宋_GB2312"/>
          <w:color w:val="000000" w:themeColor="text1"/>
          <w:sz w:val="32"/>
          <w:szCs w:val="32"/>
          <w14:textFill>
            <w14:solidFill>
              <w14:schemeClr w14:val="tx1"/>
            </w14:solidFill>
          </w14:textFill>
        </w:rPr>
        <w:t>粒度、</w:t>
      </w:r>
      <w:r>
        <w:rPr>
          <w:rFonts w:hint="eastAsia" w:ascii="Times New Roman" w:hAnsi="Times New Roman" w:eastAsia="仿宋_GB2312" w:cs="仿宋_GB2312"/>
          <w:color w:val="000000" w:themeColor="text1"/>
          <w:sz w:val="32"/>
          <w:szCs w:val="32"/>
          <w:lang w:eastAsia="zh-CN"/>
          <w14:textFill>
            <w14:solidFill>
              <w14:schemeClr w14:val="tx1"/>
            </w14:solidFill>
          </w14:textFill>
        </w:rPr>
        <w:t>温度</w:t>
      </w:r>
      <w:r>
        <w:rPr>
          <w:rFonts w:hint="eastAsia" w:ascii="Times New Roman" w:hAnsi="Times New Roman" w:eastAsia="仿宋_GB2312" w:cs="仿宋_GB2312"/>
          <w:color w:val="000000" w:themeColor="text1"/>
          <w:sz w:val="32"/>
          <w:szCs w:val="32"/>
          <w14:textFill>
            <w14:solidFill>
              <w14:schemeClr w14:val="tx1"/>
            </w14:solidFill>
          </w14:textFill>
        </w:rPr>
        <w:t>等条件应保持一致，宜在室温下检测。</w:t>
      </w:r>
      <w:r>
        <w:rPr>
          <w:rFonts w:hint="eastAsia" w:ascii="Times New Roman" w:hAnsi="Times New Roman" w:eastAsia="仿宋_GB2312" w:cs="仿宋_GB2312"/>
          <w:color w:val="000000" w:themeColor="text1"/>
          <w:sz w:val="32"/>
          <w:szCs w:val="32"/>
          <w:lang w:eastAsia="zh-CN"/>
          <w14:textFill>
            <w14:solidFill>
              <w14:schemeClr w14:val="tx1"/>
            </w14:solidFill>
          </w14:textFill>
        </w:rPr>
        <w:t>”，也据此提出上述“样品粉碎设备”的参数要求。</w:t>
      </w:r>
    </w:p>
    <w:p w14:paraId="253C10A1">
      <w:pPr>
        <w:keepNext w:val="0"/>
        <w:keepLines w:val="0"/>
        <w:pageBreakBefore w:val="0"/>
        <w:widowControl w:val="0"/>
        <w:kinsoku/>
        <w:wordWrap/>
        <w:overflowPunct/>
        <w:topLinePunct w:val="0"/>
        <w:bidi w:val="0"/>
        <w:adjustRightInd/>
        <w:snapToGrid/>
        <w:spacing w:line="600" w:lineRule="exact"/>
        <w:ind w:firstLine="643" w:firstLineChars="200"/>
        <w:rPr>
          <w:rFonts w:ascii="Times New Roman" w:hAnsi="Times New Roman" w:eastAsia="楷体_GB2312" w:cs="楷体_GB2312"/>
          <w:color w:val="000000" w:themeColor="text1"/>
          <w:sz w:val="32"/>
          <w:szCs w:val="32"/>
          <w14:textFill>
            <w14:solidFill>
              <w14:schemeClr w14:val="tx1"/>
            </w14:solidFill>
          </w14:textFill>
        </w:rPr>
      </w:pPr>
      <w:r>
        <w:rPr>
          <w:rFonts w:hint="eastAsia" w:ascii="Times New Roman" w:hAnsi="Times New Roman" w:eastAsia="楷体_GB2312" w:cs="楷体_GB2312"/>
          <w:b/>
          <w:bCs/>
          <w:color w:val="000000" w:themeColor="text1"/>
          <w:sz w:val="32"/>
          <w:szCs w:val="32"/>
          <w14:textFill>
            <w14:solidFill>
              <w14:schemeClr w14:val="tx1"/>
            </w14:solidFill>
          </w14:textFill>
        </w:rPr>
        <w:t>（六）</w:t>
      </w:r>
      <w:r>
        <w:rPr>
          <w:rFonts w:hint="eastAsia" w:ascii="Times New Roman" w:hAnsi="Times New Roman" w:eastAsia="楷体_GB2312" w:cs="楷体_GB2312"/>
          <w:b/>
          <w:bCs/>
          <w:color w:val="000000" w:themeColor="text1"/>
          <w:sz w:val="32"/>
          <w:szCs w:val="32"/>
          <w:lang w:eastAsia="zh-CN"/>
          <w14:textFill>
            <w14:solidFill>
              <w14:schemeClr w14:val="tx1"/>
            </w14:solidFill>
          </w14:textFill>
        </w:rPr>
        <w:t>定标模型</w:t>
      </w:r>
      <w:r>
        <w:rPr>
          <w:rFonts w:hint="eastAsia" w:ascii="Times New Roman" w:hAnsi="Times New Roman" w:eastAsia="楷体_GB2312" w:cs="楷体_GB2312"/>
          <w:b/>
          <w:bCs/>
          <w:color w:val="000000" w:themeColor="text1"/>
          <w:sz w:val="32"/>
          <w:szCs w:val="32"/>
          <w14:textFill>
            <w14:solidFill>
              <w14:schemeClr w14:val="tx1"/>
            </w14:solidFill>
          </w14:textFill>
        </w:rPr>
        <w:t>建立</w:t>
      </w:r>
    </w:p>
    <w:p w14:paraId="20D1447B">
      <w:pPr>
        <w:keepNext w:val="0"/>
        <w:keepLines w:val="0"/>
        <w:pageBreakBefore w:val="0"/>
        <w:widowControl w:val="0"/>
        <w:kinsoku/>
        <w:wordWrap/>
        <w:overflowPunct/>
        <w:topLinePunct w:val="0"/>
        <w:bidi w:val="0"/>
        <w:adjustRightInd/>
        <w:snapToGrid/>
        <w:spacing w:line="600" w:lineRule="exact"/>
        <w:ind w:firstLine="643" w:firstLineChars="200"/>
        <w:rPr>
          <w:rFonts w:ascii="Times New Roman" w:hAnsi="Times New Roman" w:eastAsia="仿宋_GB2312" w:cs="仿宋_GB2312"/>
          <w:b/>
          <w:bCs/>
          <w:color w:val="000000" w:themeColor="text1"/>
          <w:sz w:val="32"/>
          <w:szCs w:val="32"/>
          <w14:textFill>
            <w14:solidFill>
              <w14:schemeClr w14:val="tx1"/>
            </w14:solidFill>
          </w14:textFill>
        </w:rPr>
      </w:pPr>
      <w:r>
        <w:rPr>
          <w:rFonts w:ascii="Times New Roman" w:hAnsi="Times New Roman" w:eastAsia="仿宋_GB2312" w:cs="仿宋_GB2312"/>
          <w:b/>
          <w:bCs/>
          <w:color w:val="000000" w:themeColor="text1"/>
          <w:sz w:val="32"/>
          <w:szCs w:val="32"/>
          <w14:textFill>
            <w14:solidFill>
              <w14:schemeClr w14:val="tx1"/>
            </w14:solidFill>
          </w14:textFill>
        </w:rPr>
        <w:t>1.光谱采集</w:t>
      </w:r>
    </w:p>
    <w:p w14:paraId="5E3DB4E0">
      <w:pPr>
        <w:keepNext w:val="0"/>
        <w:keepLines w:val="0"/>
        <w:widowControl/>
        <w:suppressLineNumbers w:val="0"/>
        <w:ind w:firstLine="640" w:firstLineChars="200"/>
        <w:jc w:val="left"/>
        <w:rPr>
          <w:rFonts w:hint="eastAsia" w:ascii="Times New Roman" w:hAnsi="Times New Roman" w:eastAsia="仿宋_GB2312" w:cs="仿宋_GB2312"/>
          <w:color w:val="000000" w:themeColor="text1"/>
          <w:kern w:val="2"/>
          <w:sz w:val="32"/>
          <w:szCs w:val="32"/>
          <w:lang w:val="en-US" w:eastAsia="zh-CN" w:bidi="ar"/>
          <w14:textFill>
            <w14:solidFill>
              <w14:schemeClr w14:val="tx1"/>
            </w14:solidFill>
          </w14:textFill>
        </w:rPr>
      </w:pPr>
      <w:r>
        <w:rPr>
          <w:rFonts w:ascii="Times New Roman" w:hAnsi="Times New Roman" w:eastAsia="仿宋_GB2312" w:cs="仿宋_GB2312"/>
          <w:color w:val="000000" w:themeColor="text1"/>
          <w:kern w:val="2"/>
          <w:sz w:val="32"/>
          <w:szCs w:val="32"/>
          <w:lang w:val="en-US" w:eastAsia="zh-CN" w:bidi="ar"/>
          <w14:textFill>
            <w14:solidFill>
              <w14:schemeClr w14:val="tx1"/>
            </w14:solidFill>
          </w14:textFill>
        </w:rPr>
        <w:t>高质量光谱，是近红外分析建模任务中至关重要的基础</w:t>
      </w:r>
      <w:r>
        <w:rPr>
          <w:rFonts w:hint="eastAsia" w:ascii="Times New Roman" w:hAnsi="Times New Roman" w:eastAsia="仿宋_GB2312" w:cs="仿宋_GB2312"/>
          <w:color w:val="000000" w:themeColor="text1"/>
          <w:kern w:val="2"/>
          <w:sz w:val="32"/>
          <w:szCs w:val="32"/>
          <w:lang w:val="en-US" w:eastAsia="zh-CN" w:bidi="ar"/>
          <w14:textFill>
            <w14:solidFill>
              <w14:schemeClr w14:val="tx1"/>
            </w14:solidFill>
          </w14:textFill>
        </w:rPr>
        <w:t>。首先，必须</w:t>
      </w:r>
      <w:r>
        <w:rPr>
          <w:rFonts w:ascii="Times New Roman" w:hAnsi="Times New Roman" w:eastAsia="仿宋_GB2312" w:cs="仿宋_GB2312"/>
          <w:color w:val="000000" w:themeColor="text1"/>
          <w:kern w:val="2"/>
          <w:sz w:val="32"/>
          <w:szCs w:val="32"/>
          <w:lang w:val="en-US" w:eastAsia="zh-CN" w:bidi="ar"/>
          <w14:textFill>
            <w14:solidFill>
              <w14:schemeClr w14:val="tx1"/>
            </w14:solidFill>
          </w14:textFill>
        </w:rPr>
        <w:t>建立一个</w:t>
      </w:r>
      <w:r>
        <w:rPr>
          <w:rFonts w:hint="eastAsia" w:ascii="Times New Roman" w:hAnsi="Times New Roman" w:eastAsia="仿宋_GB2312" w:cs="仿宋_GB2312"/>
          <w:color w:val="000000" w:themeColor="text1"/>
          <w:kern w:val="2"/>
          <w:sz w:val="32"/>
          <w:szCs w:val="32"/>
          <w:lang w:val="en-US" w:eastAsia="zh-CN" w:bidi="ar"/>
          <w14:textFill>
            <w14:solidFill>
              <w14:schemeClr w14:val="tx1"/>
            </w14:solidFill>
          </w14:textFill>
        </w:rPr>
        <w:t>合适的有代表性且化学值已知的样品集，即校正集。将各种因素考虑在内收集到的样品数量大，样品信息也会有所重叠。如果所有样品都测定化学值，需要的时间长、花费大；其次，近红外光谱定量模型包含的样品数也不是越多越好，样品数越多则干扰信息越多；另外，随着建立模型的样品数目增多，模型优化的时间增长，工作量也随之加大。因此必须从大量的样品中挑选部分样品，这部分样品既为化学分析所能承受，又能充分代表原来样品的全部信息。一般来说，对于简单的测量体系，至少需要60个有代表性的样品；对于复杂的测量体系，至少需要上百个有代表性的样品。因此，本标准规定“</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选取</w:t>
      </w: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100份以上</w:t>
      </w:r>
      <w:r>
        <w:rPr>
          <w:rFonts w:hint="eastAsia" w:ascii="Times New Roman" w:hAnsi="Times New Roman" w:eastAsia="仿宋_GB2312" w:cs="仿宋_GB2312"/>
          <w:color w:val="000000" w:themeColor="text1"/>
          <w:sz w:val="32"/>
          <w:szCs w:val="32"/>
          <w:lang w:bidi="ar"/>
          <w14:textFill>
            <w14:solidFill>
              <w14:schemeClr w14:val="tx1"/>
            </w14:solidFill>
          </w14:textFill>
        </w:rPr>
        <w:t>具有代表性</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的大米</w:t>
      </w:r>
      <w:r>
        <w:rPr>
          <w:rFonts w:hint="eastAsia" w:ascii="Times New Roman" w:hAnsi="Times New Roman" w:eastAsia="仿宋_GB2312" w:cs="仿宋_GB2312"/>
          <w:color w:val="000000" w:themeColor="text1"/>
          <w:sz w:val="32"/>
          <w:szCs w:val="32"/>
          <w:lang w:bidi="ar"/>
          <w14:textFill>
            <w14:solidFill>
              <w14:schemeClr w14:val="tx1"/>
            </w14:solidFill>
          </w14:textFill>
        </w:rPr>
        <w:t>样品</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建立校正集</w:t>
      </w:r>
      <w:r>
        <w:rPr>
          <w:rFonts w:hint="eastAsia" w:ascii="Times New Roman" w:hAnsi="Times New Roman" w:eastAsia="仿宋_GB2312" w:cs="仿宋_GB2312"/>
          <w:color w:val="000000" w:themeColor="text1"/>
          <w:sz w:val="32"/>
          <w:szCs w:val="32"/>
          <w:lang w:bidi="ar"/>
          <w14:textFill>
            <w14:solidFill>
              <w14:schemeClr w14:val="tx1"/>
            </w14:solidFill>
          </w14:textFill>
        </w:rPr>
        <w:t>，</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其直链淀粉</w:t>
      </w:r>
      <w:r>
        <w:rPr>
          <w:rFonts w:hint="eastAsia" w:ascii="Times New Roman" w:hAnsi="Times New Roman" w:eastAsia="仿宋_GB2312" w:cs="仿宋_GB2312"/>
          <w:color w:val="000000" w:themeColor="text1"/>
          <w:sz w:val="32"/>
          <w:szCs w:val="32"/>
          <w:lang w:bidi="ar"/>
          <w14:textFill>
            <w14:solidFill>
              <w14:schemeClr w14:val="tx1"/>
            </w14:solidFill>
          </w14:textFill>
        </w:rPr>
        <w:t>含量范围要涵盖待测样品特性。</w:t>
      </w:r>
      <w:r>
        <w:rPr>
          <w:rFonts w:hint="eastAsia" w:ascii="Times New Roman" w:hAnsi="Times New Roman" w:eastAsia="仿宋_GB2312" w:cs="仿宋_GB2312"/>
          <w:color w:val="000000" w:themeColor="text1"/>
          <w:kern w:val="2"/>
          <w:sz w:val="32"/>
          <w:szCs w:val="32"/>
          <w:lang w:val="en-US" w:eastAsia="zh-CN" w:bidi="ar"/>
          <w14:textFill>
            <w14:solidFill>
              <w14:schemeClr w14:val="tx1"/>
            </w14:solidFill>
          </w14:textFill>
        </w:rPr>
        <w:t>”</w:t>
      </w:r>
    </w:p>
    <w:p w14:paraId="7CFD3525">
      <w:pPr>
        <w:keepNext w:val="0"/>
        <w:keepLines w:val="0"/>
        <w:widowControl/>
        <w:suppressLineNumbers w:val="0"/>
        <w:ind w:firstLine="640" w:firstLineChars="200"/>
        <w:jc w:val="left"/>
        <w:rPr>
          <w:rFonts w:hint="eastAsia" w:ascii="Times New Roman" w:hAnsi="Times New Roman" w:eastAsia="仿宋_GB2312" w:cs="仿宋_GB2312"/>
          <w:color w:val="000000" w:themeColor="text1"/>
          <w:sz w:val="32"/>
          <w:szCs w:val="32"/>
          <w:lang w:bidi="ar"/>
          <w14:textFill>
            <w14:solidFill>
              <w14:schemeClr w14:val="tx1"/>
            </w14:solidFill>
          </w14:textFill>
        </w:rPr>
      </w:pPr>
      <w:r>
        <w:rPr>
          <w:rFonts w:hint="eastAsia" w:ascii="Times New Roman" w:hAnsi="Times New Roman" w:eastAsia="仿宋_GB2312" w:cs="仿宋_GB2312"/>
          <w:color w:val="000000" w:themeColor="text1"/>
          <w:kern w:val="2"/>
          <w:sz w:val="32"/>
          <w:szCs w:val="32"/>
          <w:lang w:val="en-US" w:eastAsia="zh-CN" w:bidi="ar"/>
          <w14:textFill>
            <w14:solidFill>
              <w14:schemeClr w14:val="tx1"/>
            </w14:solidFill>
          </w14:textFill>
        </w:rPr>
        <w:t>其次，</w:t>
      </w:r>
      <w:r>
        <w:rPr>
          <w:rFonts w:ascii="Times New Roman" w:hAnsi="Times New Roman" w:eastAsia="仿宋_GB2312" w:cs="仿宋_GB2312"/>
          <w:color w:val="000000" w:themeColor="text1"/>
          <w:kern w:val="2"/>
          <w:sz w:val="32"/>
          <w:szCs w:val="32"/>
          <w:lang w:val="en-US" w:eastAsia="zh-CN" w:bidi="ar"/>
          <w14:textFill>
            <w14:solidFill>
              <w14:schemeClr w14:val="tx1"/>
            </w14:solidFill>
          </w14:textFill>
        </w:rPr>
        <w:t>仪器操作的规范性和参数设置的合理性，是获取高质量光谱的关键保障。</w:t>
      </w:r>
      <w:r>
        <w:rPr>
          <w:rFonts w:hint="eastAsia" w:ascii="Times New Roman" w:hAnsi="Times New Roman" w:eastAsia="仿宋_GB2312" w:cs="仿宋_GB2312"/>
          <w:color w:val="000000" w:themeColor="text1"/>
          <w:kern w:val="2"/>
          <w:sz w:val="32"/>
          <w:szCs w:val="32"/>
          <w:lang w:val="en-US" w:eastAsia="zh-CN" w:bidi="ar"/>
          <w14:textFill>
            <w14:solidFill>
              <w14:schemeClr w14:val="tx1"/>
            </w14:solidFill>
          </w14:textFill>
        </w:rPr>
        <w:t>同一定标模型中的所有样品的光谱测量条件应尽可能保持一致，在取样和装样等方面也应规范化操作。对于粉末等样品，近红外最常见的测量方式是漫反射，测量附件为积分球或光纤漫反射探头，使用时须注意每次装样的一致性。为此，本标准借鉴</w:t>
      </w:r>
      <w:r>
        <w:rPr>
          <w:rFonts w:hint="eastAsia" w:ascii="Times New Roman" w:hAnsi="Times New Roman" w:eastAsia="仿宋_GB2312" w:cs="仿宋_GB2312"/>
          <w:color w:val="000000" w:themeColor="text1"/>
          <w:sz w:val="32"/>
          <w:szCs w:val="32"/>
          <w14:textFill>
            <w14:solidFill>
              <w14:schemeClr w14:val="tx1"/>
            </w14:solidFill>
          </w14:textFill>
        </w:rPr>
        <w:t>《</w:t>
      </w:r>
      <w:r>
        <w:rPr>
          <w:rFonts w:ascii="Times New Roman" w:hAnsi="Times New Roman" w:eastAsia="楷体_GB2312"/>
          <w:color w:val="000000" w:themeColor="text1"/>
          <w:sz w:val="32"/>
          <w:szCs w:val="32"/>
          <w:lang w:bidi="ar"/>
          <w14:textFill>
            <w14:solidFill>
              <w14:schemeClr w14:val="tx1"/>
            </w14:solidFill>
          </w14:textFill>
        </w:rPr>
        <w:t>GB/T 24902-2010</w:t>
      </w:r>
      <w:r>
        <w:rPr>
          <w:rFonts w:ascii="Times New Roman" w:hAnsi="Times New Roman" w:eastAsia="仿宋_GB2312" w:cs="仿宋_GB2312"/>
          <w:color w:val="000000" w:themeColor="text1"/>
          <w:sz w:val="32"/>
          <w:szCs w:val="32"/>
          <w:lang w:bidi="ar"/>
          <w14:textFill>
            <w14:solidFill>
              <w14:schemeClr w14:val="tx1"/>
            </w14:solidFill>
          </w14:textFill>
        </w:rPr>
        <w:t xml:space="preserve"> 粮油检验 玉米粗脂肪含量测定 近红外法》</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等标准</w:t>
      </w:r>
      <w:r>
        <w:rPr>
          <w:rFonts w:ascii="Times New Roman" w:hAnsi="Times New Roman" w:eastAsia="仿宋_GB2312" w:cs="仿宋_GB2312"/>
          <w:color w:val="000000" w:themeColor="text1"/>
          <w:sz w:val="32"/>
          <w:szCs w:val="32"/>
          <w:lang w:bidi="ar"/>
          <w14:textFill>
            <w14:solidFill>
              <w14:schemeClr w14:val="tx1"/>
            </w14:solidFill>
          </w14:textFill>
        </w:rPr>
        <w:t>中</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关于</w:t>
      </w:r>
      <w:r>
        <w:rPr>
          <w:rFonts w:ascii="Times New Roman" w:hAnsi="Times New Roman" w:eastAsia="仿宋_GB2312" w:cs="仿宋_GB2312"/>
          <w:color w:val="000000" w:themeColor="text1"/>
          <w:sz w:val="32"/>
          <w:szCs w:val="32"/>
          <w:lang w:bidi="ar"/>
          <w14:textFill>
            <w14:solidFill>
              <w14:schemeClr w14:val="tx1"/>
            </w14:solidFill>
          </w14:textFill>
        </w:rPr>
        <w:t>光谱采集规定</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w:t>
      </w:r>
      <w:r>
        <w:rPr>
          <w:rFonts w:ascii="Times New Roman" w:hAnsi="Times New Roman" w:eastAsia="仿宋_GB2312" w:cs="仿宋_GB2312"/>
          <w:color w:val="000000" w:themeColor="text1"/>
          <w:sz w:val="32"/>
          <w:szCs w:val="32"/>
          <w:lang w:bidi="ar"/>
          <w14:textFill>
            <w14:solidFill>
              <w14:schemeClr w14:val="tx1"/>
            </w14:solidFill>
          </w14:textFill>
        </w:rPr>
        <w:t>提出</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w:t>
      </w:r>
      <w:r>
        <w:rPr>
          <w:rFonts w:hint="eastAsia" w:ascii="Times New Roman" w:hAnsi="Times New Roman" w:eastAsia="仿宋_GB2312" w:cs="仿宋_GB2312"/>
          <w:color w:val="000000" w:themeColor="text1"/>
          <w:sz w:val="32"/>
          <w:szCs w:val="32"/>
          <w:lang w:bidi="ar"/>
          <w14:textFill>
            <w14:solidFill>
              <w14:schemeClr w14:val="tx1"/>
            </w14:solidFill>
          </w14:textFill>
        </w:rPr>
        <w:t>仪器完成预热及自检后，按仪器</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的使用说明</w:t>
      </w:r>
      <w:r>
        <w:rPr>
          <w:rFonts w:hint="eastAsia" w:ascii="Times New Roman" w:hAnsi="Times New Roman" w:eastAsia="仿宋_GB2312" w:cs="仿宋_GB2312"/>
          <w:color w:val="000000" w:themeColor="text1"/>
          <w:sz w:val="32"/>
          <w:szCs w:val="32"/>
          <w:lang w:bidi="ar"/>
          <w14:textFill>
            <w14:solidFill>
              <w14:schemeClr w14:val="tx1"/>
            </w14:solidFill>
          </w14:textFill>
        </w:rPr>
        <w:t>将</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制备好的校正集</w:t>
      </w:r>
      <w:r>
        <w:rPr>
          <w:rFonts w:hint="eastAsia" w:ascii="Times New Roman" w:hAnsi="Times New Roman" w:eastAsia="仿宋_GB2312" w:cs="仿宋_GB2312"/>
          <w:color w:val="000000" w:themeColor="text1"/>
          <w:sz w:val="32"/>
          <w:szCs w:val="32"/>
          <w:lang w:bidi="ar"/>
          <w14:textFill>
            <w14:solidFill>
              <w14:schemeClr w14:val="tx1"/>
            </w14:solidFill>
          </w14:textFill>
        </w:rPr>
        <w:t>样品装入测量附件中进行光谱采集。每个样品重复装样2次，重复扫描2次，</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计算</w:t>
      </w:r>
      <w:r>
        <w:rPr>
          <w:rFonts w:hint="eastAsia" w:ascii="Times New Roman" w:hAnsi="Times New Roman" w:eastAsia="仿宋_GB2312" w:cs="仿宋_GB2312"/>
          <w:color w:val="000000" w:themeColor="text1"/>
          <w:sz w:val="32"/>
          <w:szCs w:val="32"/>
          <w:lang w:bidi="ar"/>
          <w14:textFill>
            <w14:solidFill>
              <w14:schemeClr w14:val="tx1"/>
            </w14:solidFill>
          </w14:textFill>
        </w:rPr>
        <w:t>平均光谱</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作为最终采集光谱</w:t>
      </w:r>
      <w:r>
        <w:rPr>
          <w:rFonts w:hint="eastAsia" w:ascii="Times New Roman" w:hAnsi="Times New Roman" w:eastAsia="仿宋_GB2312" w:cs="仿宋_GB2312"/>
          <w:color w:val="000000" w:themeColor="text1"/>
          <w:sz w:val="32"/>
          <w:szCs w:val="32"/>
          <w:lang w:bidi="ar"/>
          <w14:textFill>
            <w14:solidFill>
              <w14:schemeClr w14:val="tx1"/>
            </w14:solidFill>
          </w14:textFill>
        </w:rPr>
        <w:t>。”</w:t>
      </w:r>
    </w:p>
    <w:p w14:paraId="380FD22C">
      <w:pPr>
        <w:pStyle w:val="7"/>
        <w:keepNext w:val="0"/>
        <w:keepLines w:val="0"/>
        <w:widowControl/>
        <w:suppressLineNumbers w:val="0"/>
        <w:ind w:firstLine="640" w:firstLineChars="200"/>
        <w:rPr>
          <w:rFonts w:ascii="Times New Roman" w:hAnsi="Times New Roman" w:eastAsia="仿宋_GB2312" w:cs="仿宋_GB2312"/>
          <w:color w:val="000000" w:themeColor="text1"/>
          <w:sz w:val="32"/>
          <w:szCs w:val="32"/>
          <w:lang w:bidi="ar"/>
          <w14:textFill>
            <w14:solidFill>
              <w14:schemeClr w14:val="tx1"/>
            </w14:solidFill>
          </w14:textFill>
        </w:rPr>
      </w:pP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综上，本标准的光谱采集要求</w:t>
      </w:r>
      <w:r>
        <w:rPr>
          <w:rFonts w:ascii="Times New Roman" w:hAnsi="Times New Roman" w:eastAsia="仿宋_GB2312" w:cs="仿宋_GB2312"/>
          <w:color w:val="000000" w:themeColor="text1"/>
          <w:sz w:val="32"/>
          <w:szCs w:val="32"/>
          <w:lang w:bidi="ar"/>
          <w14:textFill>
            <w14:solidFill>
              <w14:schemeClr w14:val="tx1"/>
            </w14:solidFill>
          </w14:textFill>
        </w:rPr>
        <w:t>“</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选取</w:t>
      </w: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100份以上</w:t>
      </w:r>
      <w:r>
        <w:rPr>
          <w:rFonts w:hint="eastAsia" w:ascii="Times New Roman" w:hAnsi="Times New Roman" w:eastAsia="仿宋_GB2312" w:cs="仿宋_GB2312"/>
          <w:color w:val="000000" w:themeColor="text1"/>
          <w:sz w:val="32"/>
          <w:szCs w:val="32"/>
          <w:lang w:bidi="ar"/>
          <w14:textFill>
            <w14:solidFill>
              <w14:schemeClr w14:val="tx1"/>
            </w14:solidFill>
          </w14:textFill>
        </w:rPr>
        <w:t>具有代表性</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的大米</w:t>
      </w:r>
      <w:r>
        <w:rPr>
          <w:rFonts w:hint="eastAsia" w:ascii="Times New Roman" w:hAnsi="Times New Roman" w:eastAsia="仿宋_GB2312" w:cs="仿宋_GB2312"/>
          <w:color w:val="000000" w:themeColor="text1"/>
          <w:sz w:val="32"/>
          <w:szCs w:val="32"/>
          <w:lang w:bidi="ar"/>
          <w14:textFill>
            <w14:solidFill>
              <w14:schemeClr w14:val="tx1"/>
            </w14:solidFill>
          </w14:textFill>
        </w:rPr>
        <w:t>样品</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建立校正集</w:t>
      </w:r>
      <w:r>
        <w:rPr>
          <w:rFonts w:hint="eastAsia" w:ascii="Times New Roman" w:hAnsi="Times New Roman" w:eastAsia="仿宋_GB2312" w:cs="仿宋_GB2312"/>
          <w:color w:val="000000" w:themeColor="text1"/>
          <w:sz w:val="32"/>
          <w:szCs w:val="32"/>
          <w:lang w:bidi="ar"/>
          <w14:textFill>
            <w14:solidFill>
              <w14:schemeClr w14:val="tx1"/>
            </w14:solidFill>
          </w14:textFill>
        </w:rPr>
        <w:t>，</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其直链淀粉</w:t>
      </w:r>
      <w:r>
        <w:rPr>
          <w:rFonts w:hint="eastAsia" w:ascii="Times New Roman" w:hAnsi="Times New Roman" w:eastAsia="仿宋_GB2312" w:cs="仿宋_GB2312"/>
          <w:color w:val="000000" w:themeColor="text1"/>
          <w:sz w:val="32"/>
          <w:szCs w:val="32"/>
          <w:lang w:bidi="ar"/>
          <w14:textFill>
            <w14:solidFill>
              <w14:schemeClr w14:val="tx1"/>
            </w14:solidFill>
          </w14:textFill>
        </w:rPr>
        <w:t>含量范围要涵盖待测样品特性。仪器完成预热及自检后，按仪器</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的使用说明</w:t>
      </w:r>
      <w:r>
        <w:rPr>
          <w:rFonts w:hint="eastAsia" w:ascii="Times New Roman" w:hAnsi="Times New Roman" w:eastAsia="仿宋_GB2312" w:cs="仿宋_GB2312"/>
          <w:color w:val="000000" w:themeColor="text1"/>
          <w:sz w:val="32"/>
          <w:szCs w:val="32"/>
          <w:lang w:bidi="ar"/>
          <w14:textFill>
            <w14:solidFill>
              <w14:schemeClr w14:val="tx1"/>
            </w14:solidFill>
          </w14:textFill>
        </w:rPr>
        <w:t>将</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制备好的校正集</w:t>
      </w:r>
      <w:r>
        <w:rPr>
          <w:rFonts w:hint="eastAsia" w:ascii="Times New Roman" w:hAnsi="Times New Roman" w:eastAsia="仿宋_GB2312" w:cs="仿宋_GB2312"/>
          <w:color w:val="000000" w:themeColor="text1"/>
          <w:sz w:val="32"/>
          <w:szCs w:val="32"/>
          <w:lang w:bidi="ar"/>
          <w14:textFill>
            <w14:solidFill>
              <w14:schemeClr w14:val="tx1"/>
            </w14:solidFill>
          </w14:textFill>
        </w:rPr>
        <w:t>样品装入测量附件中进行光谱采集。每个样品重复装样2次，重复扫描2次，</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计算</w:t>
      </w:r>
      <w:r>
        <w:rPr>
          <w:rFonts w:hint="eastAsia" w:ascii="Times New Roman" w:hAnsi="Times New Roman" w:eastAsia="仿宋_GB2312" w:cs="仿宋_GB2312"/>
          <w:color w:val="000000" w:themeColor="text1"/>
          <w:sz w:val="32"/>
          <w:szCs w:val="32"/>
          <w:lang w:bidi="ar"/>
          <w14:textFill>
            <w14:solidFill>
              <w14:schemeClr w14:val="tx1"/>
            </w14:solidFill>
          </w14:textFill>
        </w:rPr>
        <w:t>平均光谱</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作为最终采集光谱</w:t>
      </w:r>
      <w:r>
        <w:rPr>
          <w:rFonts w:hint="eastAsia" w:ascii="Times New Roman" w:hAnsi="Times New Roman" w:eastAsia="仿宋_GB2312" w:cs="仿宋_GB2312"/>
          <w:color w:val="000000" w:themeColor="text1"/>
          <w:sz w:val="32"/>
          <w:szCs w:val="32"/>
          <w:lang w:bidi="ar"/>
          <w14:textFill>
            <w14:solidFill>
              <w14:schemeClr w14:val="tx1"/>
            </w14:solidFill>
          </w14:textFill>
        </w:rPr>
        <w:t>。”</w:t>
      </w:r>
    </w:p>
    <w:p w14:paraId="6A37D74F">
      <w:pPr>
        <w:keepNext w:val="0"/>
        <w:keepLines w:val="0"/>
        <w:pageBreakBefore w:val="0"/>
        <w:widowControl w:val="0"/>
        <w:kinsoku/>
        <w:wordWrap/>
        <w:overflowPunct/>
        <w:topLinePunct w:val="0"/>
        <w:bidi w:val="0"/>
        <w:adjustRightInd/>
        <w:snapToGrid/>
        <w:spacing w:line="600" w:lineRule="exact"/>
        <w:ind w:firstLine="643" w:firstLineChars="200"/>
        <w:rPr>
          <w:rFonts w:ascii="Times New Roman" w:hAnsi="Times New Roman" w:eastAsia="仿宋_GB2312" w:cs="仿宋_GB2312"/>
          <w:b/>
          <w:bCs/>
          <w:color w:val="000000" w:themeColor="text1"/>
          <w:sz w:val="32"/>
          <w:szCs w:val="32"/>
          <w:lang w:bidi="ar"/>
          <w14:textFill>
            <w14:solidFill>
              <w14:schemeClr w14:val="tx1"/>
            </w14:solidFill>
          </w14:textFill>
        </w:rPr>
      </w:pPr>
      <w:r>
        <w:rPr>
          <w:rFonts w:ascii="Times New Roman" w:hAnsi="Times New Roman" w:eastAsia="仿宋_GB2312" w:cs="仿宋_GB2312"/>
          <w:b/>
          <w:bCs/>
          <w:color w:val="000000" w:themeColor="text1"/>
          <w:sz w:val="32"/>
          <w:szCs w:val="32"/>
          <w:lang w:bidi="ar"/>
          <w14:textFill>
            <w14:solidFill>
              <w14:schemeClr w14:val="tx1"/>
            </w14:solidFill>
          </w14:textFill>
        </w:rPr>
        <w:t>2.标准理化分析方法</w:t>
      </w:r>
    </w:p>
    <w:p w14:paraId="45E021DA">
      <w:pPr>
        <w:keepNext w:val="0"/>
        <w:keepLines w:val="0"/>
        <w:pageBreakBefore w:val="0"/>
        <w:widowControl w:val="0"/>
        <w:kinsoku/>
        <w:wordWrap/>
        <w:overflowPunct/>
        <w:topLinePunct w:val="0"/>
        <w:bidi w:val="0"/>
        <w:adjustRightInd/>
        <w:snapToGrid/>
        <w:spacing w:line="600" w:lineRule="exact"/>
        <w:ind w:firstLine="640" w:firstLineChars="200"/>
        <w:rPr>
          <w:rFonts w:ascii="Times New Roman" w:hAnsi="Times New Roman" w:eastAsia="仿宋_GB2312" w:cs="仿宋_GB2312"/>
          <w:color w:val="000000" w:themeColor="text1"/>
          <w:sz w:val="32"/>
          <w:szCs w:val="32"/>
          <w:lang w:bidi="ar"/>
          <w14:textFill>
            <w14:solidFill>
              <w14:schemeClr w14:val="tx1"/>
            </w14:solidFill>
          </w14:textFill>
        </w:rPr>
      </w:pP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标准值的准确性对近红外定标模型的预测精度有较大的影响，因此对于建模所用的标准值通常采用标准方法或经典的分析方法进行测定。此外，用于标准值测量的样品必须和光谱采集所用的样品对应一致，且尽可能在取样后及时测定标准值和近红外光谱，以免样品组分变化影响定标模型的准确性。据此，本标准规定标准理化分析方法测定定义为“校正集样品按照GB</w:t>
      </w: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/T</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 xml:space="preserve"> </w:t>
      </w: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15683</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规定的方法测定样品的</w:t>
      </w: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直链淀粉</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含量。标准理化分析应与近红外测定同期进行。”</w:t>
      </w:r>
    </w:p>
    <w:p w14:paraId="7897043A">
      <w:pPr>
        <w:keepNext w:val="0"/>
        <w:keepLines w:val="0"/>
        <w:pageBreakBefore w:val="0"/>
        <w:widowControl w:val="0"/>
        <w:kinsoku/>
        <w:wordWrap/>
        <w:overflowPunct/>
        <w:topLinePunct w:val="0"/>
        <w:bidi w:val="0"/>
        <w:adjustRightInd/>
        <w:snapToGrid/>
        <w:spacing w:line="600" w:lineRule="exact"/>
        <w:ind w:firstLine="643" w:firstLineChars="200"/>
        <w:rPr>
          <w:rFonts w:ascii="Times New Roman" w:hAnsi="Times New Roman" w:eastAsia="仿宋_GB2312" w:cs="仿宋_GB2312"/>
          <w:b/>
          <w:bCs/>
          <w:color w:val="000000" w:themeColor="text1"/>
          <w:sz w:val="32"/>
          <w:szCs w:val="32"/>
          <w:lang w:bidi="ar"/>
          <w14:textFill>
            <w14:solidFill>
              <w14:schemeClr w14:val="tx1"/>
            </w14:solidFill>
          </w14:textFill>
        </w:rPr>
      </w:pPr>
      <w:r>
        <w:rPr>
          <w:rFonts w:ascii="Times New Roman" w:hAnsi="Times New Roman" w:eastAsia="仿宋_GB2312" w:cs="仿宋_GB2312"/>
          <w:b/>
          <w:bCs/>
          <w:color w:val="000000" w:themeColor="text1"/>
          <w:sz w:val="32"/>
          <w:szCs w:val="32"/>
          <w:lang w:bidi="ar"/>
          <w14:textFill>
            <w14:solidFill>
              <w14:schemeClr w14:val="tx1"/>
            </w14:solidFill>
          </w14:textFill>
        </w:rPr>
        <w:t>3.</w:t>
      </w:r>
      <w:r>
        <w:rPr>
          <w:rFonts w:hint="eastAsia" w:ascii="Times New Roman" w:hAnsi="Times New Roman" w:eastAsia="仿宋_GB2312" w:cs="仿宋_GB2312"/>
          <w:b/>
          <w:bCs/>
          <w:color w:val="000000" w:themeColor="text1"/>
          <w:sz w:val="32"/>
          <w:szCs w:val="32"/>
          <w:lang w:eastAsia="zh-CN" w:bidi="ar"/>
          <w14:textFill>
            <w14:solidFill>
              <w14:schemeClr w14:val="tx1"/>
            </w14:solidFill>
          </w14:textFill>
        </w:rPr>
        <w:t>定标模型</w:t>
      </w:r>
      <w:r>
        <w:rPr>
          <w:rFonts w:ascii="Times New Roman" w:hAnsi="Times New Roman" w:eastAsia="仿宋_GB2312" w:cs="仿宋_GB2312"/>
          <w:b/>
          <w:bCs/>
          <w:color w:val="000000" w:themeColor="text1"/>
          <w:sz w:val="32"/>
          <w:szCs w:val="32"/>
          <w:lang w:bidi="ar"/>
          <w14:textFill>
            <w14:solidFill>
              <w14:schemeClr w14:val="tx1"/>
            </w14:solidFill>
          </w14:textFill>
        </w:rPr>
        <w:t>的建立</w:t>
      </w:r>
    </w:p>
    <w:p w14:paraId="131836A1">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eastAsia="zh-CN" w:bidi="ar"/>
          <w14:textFill>
            <w14:solidFill>
              <w14:schemeClr w14:val="tx1"/>
            </w14:solidFill>
          </w14:textFill>
        </w:rPr>
      </w:pPr>
      <w:r>
        <w:rPr>
          <w:rFonts w:hint="eastAsia" w:ascii="Times New Roman" w:hAnsi="Times New Roman" w:eastAsia="仿宋_GB2312" w:cs="仿宋_GB2312"/>
          <w:color w:val="000000" w:themeColor="text1"/>
          <w:sz w:val="32"/>
          <w:szCs w:val="32"/>
          <w:lang w:bidi="ar"/>
          <w14:textFill>
            <w14:solidFill>
              <w14:schemeClr w14:val="tx1"/>
            </w14:solidFill>
          </w14:textFill>
        </w:rPr>
        <w:t>建立稳定、准确的</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定标模型</w:t>
      </w:r>
      <w:r>
        <w:rPr>
          <w:rFonts w:hint="eastAsia" w:ascii="Times New Roman" w:hAnsi="Times New Roman" w:eastAsia="仿宋_GB2312" w:cs="仿宋_GB2312"/>
          <w:color w:val="000000" w:themeColor="text1"/>
          <w:sz w:val="32"/>
          <w:szCs w:val="32"/>
          <w:lang w:bidi="ar"/>
          <w14:textFill>
            <w14:solidFill>
              <w14:schemeClr w14:val="tx1"/>
            </w14:solidFill>
          </w14:textFill>
        </w:rPr>
        <w:t>是进行</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大米中直链淀粉</w:t>
      </w:r>
      <w:r>
        <w:rPr>
          <w:rFonts w:hint="eastAsia" w:ascii="Times New Roman" w:hAnsi="Times New Roman" w:eastAsia="仿宋_GB2312" w:cs="仿宋_GB2312"/>
          <w:color w:val="000000" w:themeColor="text1"/>
          <w:sz w:val="32"/>
          <w:szCs w:val="32"/>
          <w14:textFill>
            <w14:solidFill>
              <w14:schemeClr w14:val="tx1"/>
            </w14:solidFill>
          </w14:textFill>
        </w:rPr>
        <w:t>含量</w:t>
      </w:r>
      <w:r>
        <w:rPr>
          <w:rFonts w:hint="eastAsia" w:ascii="Times New Roman" w:hAnsi="Times New Roman" w:eastAsia="仿宋_GB2312" w:cs="仿宋_GB2312"/>
          <w:color w:val="000000" w:themeColor="text1"/>
          <w:sz w:val="32"/>
          <w:szCs w:val="32"/>
          <w:lang w:bidi="ar"/>
          <w14:textFill>
            <w14:solidFill>
              <w14:schemeClr w14:val="tx1"/>
            </w14:solidFill>
          </w14:textFill>
        </w:rPr>
        <w:t>快速检测的关键</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，一般通过与光谱仪配套的化学计量学软件计算。建模步骤如下：</w:t>
      </w:r>
    </w:p>
    <w:p w14:paraId="7A37F884">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（1）光谱和对应标准值组成校正数据阵。</w:t>
      </w:r>
    </w:p>
    <w:p w14:paraId="49E10DAC">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2）对光谱进行必要的光谱预处理，如平滑、导数、多元散射校正（MSC）、标准正态变量变换（SNV）、去趋势算法（Detrend）等。平滑是一种提高光谱信噪比的简单算法；导数光谱可以有效地消除基线和其他背景的干扰，分辨重叠峰，提高分辨率和灵敏度，主要包括一阶导数、二阶导数；MSC 和SNV 主要是用来消除固体颗粒大小、表面散射以及光程变化对近红外漫反射光谱的影响。为得到较优的定标模型，常常需要同时使用多种预处理方法，例如导数+平滑、MSC+一阶导数等。在建模过程中需要根据模型的预测准确性等选择合适的预处理方法。</w:t>
      </w:r>
    </w:p>
    <w:p w14:paraId="73F7A612">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（3）光谱区间（范围）的选择，如相关系数、遗传算法等，主要是为了剔除不相关或非线性变量，简化模型，提高预测能力。</w:t>
      </w:r>
    </w:p>
    <w:p w14:paraId="57E8D762">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（4）定量校正（交互验证过程）。 将处理后的光谱数据和性质数据通过多元线性回归（MLR）、主成分回归（PCR）或偏最小二乘（PLS）等进行回归运算，得到定量定标模型。MLR、PCR和PLS是一脉相通、相互连贯的，从中可以清晰地看出一条线性多元校正方法逐步发展的历程。PCR克服了MLR不满秩求逆和光谱信息不能充分利用的弱点，采用主成分分析法（PCA）对光谱阵进行分解，通过得分向量进行MLR回归，显著提高了模型预测能力。PLS则对光谱阵和浓度阵同时进行分解，并在分解时考虑两者相互之间的关系，加强对应计算关系，从而保证获得最佳的定标模型。可以说，偏最小二乘法是多元线性回归、典型相关分析和主成分分析的完美结合。这也是PLS法在近红外光谱分析中得到最为广泛运用的主要原因之一。模型建立过程中，可用</w:t>
      </w:r>
      <w:r>
        <w:rPr>
          <w:rFonts w:hint="eastAsia" w:ascii="Times New Roman" w:hAnsi="Times New Roman" w:eastAsia="仿宋_GB2312" w:cs="仿宋_GB2312"/>
          <w:i/>
          <w:iCs/>
          <w:color w:val="000000" w:themeColor="text1"/>
          <w:sz w:val="32"/>
          <w:szCs w:val="32"/>
          <w:lang w:val="en-US" w:eastAsia="zh-CN" w:bidi="ar"/>
          <w14:textFill>
            <w14:solidFill>
              <w14:schemeClr w14:val="tx1"/>
            </w14:solidFill>
          </w14:textFill>
        </w:rPr>
        <w:t>SEC、SECV</w:t>
      </w: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和决定系数（</w:t>
      </w:r>
      <w:r>
        <w:rPr>
          <w:rFonts w:hint="eastAsia" w:ascii="Times New Roman" w:hAnsi="Times New Roman" w:eastAsia="仿宋_GB2312" w:cs="仿宋_GB2312"/>
          <w:i/>
          <w:iCs/>
          <w:color w:val="000000" w:themeColor="text1"/>
          <w:sz w:val="32"/>
          <w:szCs w:val="32"/>
          <w:lang w:val="en-US" w:eastAsia="zh-CN" w:bidi="ar"/>
          <w14:textFill>
            <w14:solidFill>
              <w14:schemeClr w14:val="tx1"/>
            </w14:solidFill>
          </w14:textFill>
        </w:rPr>
        <w:t>R</w:t>
      </w:r>
      <w:r>
        <w:rPr>
          <w:rFonts w:hint="eastAsia" w:ascii="Times New Roman" w:hAnsi="Times New Roman" w:eastAsia="仿宋_GB2312" w:cs="仿宋_GB2312"/>
          <w:i/>
          <w:iCs/>
          <w:color w:val="000000" w:themeColor="text1"/>
          <w:sz w:val="32"/>
          <w:szCs w:val="32"/>
          <w:vertAlign w:val="superscript"/>
          <w:lang w:val="en-US" w:eastAsia="zh-CN" w:bidi="ar"/>
          <w14:textFill>
            <w14:solidFill>
              <w14:schemeClr w14:val="tx1"/>
            </w14:solidFill>
          </w14:textFill>
        </w:rPr>
        <w:t>2</w:t>
      </w: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）等指标对模型的质量进行评价，以选取最优的建模参数。</w:t>
      </w:r>
    </w:p>
    <w:p w14:paraId="67A5A2E0">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5）异常样品的剔除。异常样品是指交互验证过程得到的预测值与其实际值有显著性差别的样品。可能的产生原因主要是:这些样品的基础数据测量或光谱测量有误，或近红外方法不适用于该类样品的测定，或这些样品与校正集其他样品不属于一类样品等。</w:t>
      </w:r>
    </w:p>
    <w:p w14:paraId="76251ADE">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（6）模型重新建立。将异常样品从校正集中剔除，采用相同的校正参数重新进行回归运算，如此反复，直至得到满意的定量模型。</w:t>
      </w:r>
    </w:p>
    <w:p w14:paraId="4154AD80">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pP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综上，在</w:t>
      </w:r>
      <w:r>
        <w:rPr>
          <w:rFonts w:hint="eastAsia" w:ascii="Times New Roman" w:hAnsi="Times New Roman" w:eastAsia="仿宋_GB2312" w:cs="仿宋_GB2312"/>
          <w:color w:val="000000" w:themeColor="text1"/>
          <w:sz w:val="32"/>
          <w:szCs w:val="32"/>
          <w:lang w:bidi="ar"/>
          <w14:textFill>
            <w14:solidFill>
              <w14:schemeClr w14:val="tx1"/>
            </w14:solidFill>
          </w14:textFill>
        </w:rPr>
        <w:t>参考</w:t>
      </w:r>
      <w:r>
        <w:rPr>
          <w:rFonts w:hint="eastAsia" w:ascii="Times New Roman" w:hAnsi="Times New Roman" w:eastAsia="楷体_GB2312"/>
          <w:color w:val="000000" w:themeColor="text1"/>
          <w:sz w:val="32"/>
          <w:szCs w:val="32"/>
          <w:lang w:bidi="ar"/>
          <w14:textFill>
            <w14:solidFill>
              <w14:schemeClr w14:val="tx1"/>
            </w14:solidFill>
          </w14:textFill>
        </w:rPr>
        <w:t>GB/T 29858-2013</w:t>
      </w:r>
      <w:r>
        <w:rPr>
          <w:rFonts w:hint="eastAsia" w:ascii="Times New Roman" w:hAnsi="Times New Roman" w:eastAsia="仿宋_GB2312" w:cs="仿宋_GB2312"/>
          <w:color w:val="000000" w:themeColor="text1"/>
          <w:sz w:val="32"/>
          <w:szCs w:val="32"/>
          <w:lang w:bidi="ar"/>
          <w14:textFill>
            <w14:solidFill>
              <w14:schemeClr w14:val="tx1"/>
            </w14:solidFill>
          </w14:textFill>
        </w:rPr>
        <w:t>《</w:t>
      </w:r>
      <w:r>
        <w:rPr>
          <w:rFonts w:ascii="Times New Roman" w:hAnsi="Times New Roman" w:eastAsia="仿宋_GB2312" w:cs="仿宋_GB2312"/>
          <w:color w:val="000000" w:themeColor="text1"/>
          <w:sz w:val="32"/>
          <w:szCs w:val="32"/>
          <w:lang w:bidi="ar"/>
          <w14:textFill>
            <w14:solidFill>
              <w14:schemeClr w14:val="tx1"/>
            </w14:solidFill>
          </w14:textFill>
        </w:rPr>
        <w:t xml:space="preserve"> 分子光</w:t>
      </w:r>
      <w:r>
        <w:rPr>
          <w:rFonts w:hint="eastAsia" w:ascii="Times New Roman" w:hAnsi="Times New Roman" w:eastAsia="仿宋_GB2312" w:cs="仿宋_GB2312"/>
          <w:color w:val="000000" w:themeColor="text1"/>
          <w:sz w:val="32"/>
          <w:szCs w:val="32"/>
          <w:lang w:bidi="ar"/>
          <w14:textFill>
            <w14:solidFill>
              <w14:schemeClr w14:val="tx1"/>
            </w14:solidFill>
          </w14:textFill>
        </w:rPr>
        <w:t xml:space="preserve">谱多元校正定量分析通则》“12 </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定标模型</w:t>
      </w:r>
      <w:r>
        <w:rPr>
          <w:rFonts w:hint="eastAsia" w:ascii="Times New Roman" w:hAnsi="Times New Roman" w:eastAsia="仿宋_GB2312" w:cs="仿宋_GB2312"/>
          <w:color w:val="000000" w:themeColor="text1"/>
          <w:sz w:val="32"/>
          <w:szCs w:val="32"/>
          <w:lang w:bidi="ar"/>
          <w14:textFill>
            <w14:solidFill>
              <w14:schemeClr w14:val="tx1"/>
            </w14:solidFill>
          </w14:textFill>
        </w:rPr>
        <w:t>的建立”</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的基础上</w:t>
      </w:r>
      <w:r>
        <w:rPr>
          <w:rFonts w:hint="eastAsia" w:ascii="Times New Roman" w:hAnsi="Times New Roman" w:eastAsia="仿宋_GB2312" w:cs="仿宋_GB2312"/>
          <w:color w:val="000000" w:themeColor="text1"/>
          <w:sz w:val="32"/>
          <w:szCs w:val="32"/>
          <w:lang w:bidi="ar"/>
          <w14:textFill>
            <w14:solidFill>
              <w14:schemeClr w14:val="tx1"/>
            </w14:solidFill>
          </w14:textFill>
        </w:rPr>
        <w:t>，本标准规定“</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使用与仪器配套的化学计量学</w:t>
      </w: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软件，选择平滑、导数、标准正态变量变换等</w:t>
      </w:r>
      <w:r>
        <w:rPr>
          <w:rFonts w:hint="eastAsia" w:ascii="Times New Roman" w:hAnsi="Times New Roman" w:eastAsia="仿宋_GB2312" w:cs="仿宋_GB2312"/>
          <w:color w:val="000000" w:themeColor="text1"/>
          <w:sz w:val="32"/>
          <w:szCs w:val="32"/>
          <w:lang w:bidi="ar"/>
          <w14:textFill>
            <w14:solidFill>
              <w14:schemeClr w14:val="tx1"/>
            </w14:solidFill>
          </w14:textFill>
        </w:rPr>
        <w:t>合适的方法对</w:t>
      </w: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7.1采集的</w:t>
      </w:r>
      <w:r>
        <w:rPr>
          <w:rFonts w:hint="eastAsia" w:ascii="Times New Roman" w:hAnsi="Times New Roman" w:eastAsia="仿宋_GB2312" w:cs="仿宋_GB2312"/>
          <w:color w:val="000000" w:themeColor="text1"/>
          <w:sz w:val="32"/>
          <w:szCs w:val="32"/>
          <w:lang w:bidi="ar"/>
          <w14:textFill>
            <w14:solidFill>
              <w14:schemeClr w14:val="tx1"/>
            </w14:solidFill>
          </w14:textFill>
        </w:rPr>
        <w:t>近红外光谱</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数据</w:t>
      </w:r>
      <w:r>
        <w:rPr>
          <w:rFonts w:hint="eastAsia" w:ascii="Times New Roman" w:hAnsi="Times New Roman" w:eastAsia="仿宋_GB2312" w:cs="仿宋_GB2312"/>
          <w:color w:val="000000" w:themeColor="text1"/>
          <w:sz w:val="32"/>
          <w:szCs w:val="32"/>
          <w:lang w:bidi="ar"/>
          <w14:textFill>
            <w14:solidFill>
              <w14:schemeClr w14:val="tx1"/>
            </w14:solidFill>
          </w14:textFill>
        </w:rPr>
        <w:t>进行预处理，选择合适的波长</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、变量数目</w:t>
      </w:r>
      <w:r>
        <w:rPr>
          <w:rFonts w:hint="eastAsia" w:ascii="Times New Roman" w:hAnsi="Times New Roman" w:eastAsia="仿宋_GB2312" w:cs="仿宋_GB2312"/>
          <w:color w:val="000000" w:themeColor="text1"/>
          <w:sz w:val="32"/>
          <w:szCs w:val="32"/>
          <w:lang w:bidi="ar"/>
          <w14:textFill>
            <w14:solidFill>
              <w14:schemeClr w14:val="tx1"/>
            </w14:solidFill>
          </w14:textFill>
        </w:rPr>
        <w:t>以及多元</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定量</w:t>
      </w:r>
      <w:r>
        <w:rPr>
          <w:rFonts w:hint="eastAsia" w:ascii="Times New Roman" w:hAnsi="Times New Roman" w:eastAsia="仿宋_GB2312" w:cs="仿宋_GB2312"/>
          <w:color w:val="000000" w:themeColor="text1"/>
          <w:sz w:val="32"/>
          <w:szCs w:val="32"/>
          <w:lang w:bidi="ar"/>
          <w14:textFill>
            <w14:solidFill>
              <w14:schemeClr w14:val="tx1"/>
            </w14:solidFill>
          </w14:textFill>
        </w:rPr>
        <w:t>校正方法，结合对应样品的标准理化分析值，建立</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定标模型</w:t>
      </w:r>
      <w:r>
        <w:rPr>
          <w:rFonts w:hint="eastAsia" w:ascii="Times New Roman" w:hAnsi="Times New Roman" w:eastAsia="仿宋_GB2312" w:cs="仿宋_GB2312"/>
          <w:color w:val="000000" w:themeColor="text1"/>
          <w:sz w:val="32"/>
          <w:szCs w:val="32"/>
          <w:lang w:bidi="ar"/>
          <w14:textFill>
            <w14:solidFill>
              <w14:schemeClr w14:val="tx1"/>
            </w14:solidFill>
          </w14:textFill>
        </w:rPr>
        <w:t>。</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模型建立过程中，可通过校正标准偏差（</w:t>
      </w:r>
      <w:r>
        <w:rPr>
          <w:rFonts w:hint="eastAsia" w:ascii="Times New Roman" w:hAnsi="Times New Roman" w:eastAsia="仿宋_GB2312" w:cs="仿宋_GB2312"/>
          <w:i/>
          <w:iCs/>
          <w:color w:val="000000" w:themeColor="text1"/>
          <w:sz w:val="32"/>
          <w:szCs w:val="32"/>
          <w:lang w:val="en-US" w:eastAsia="zh-CN" w:bidi="ar"/>
          <w14:textFill>
            <w14:solidFill>
              <w14:schemeClr w14:val="tx1"/>
            </w14:solidFill>
          </w14:textFill>
        </w:rPr>
        <w:t>SEC</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w:t>
      </w: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、交互验证的校正标准偏差（</w:t>
      </w:r>
      <w:r>
        <w:rPr>
          <w:rFonts w:hint="eastAsia" w:ascii="Times New Roman" w:hAnsi="Times New Roman" w:eastAsia="仿宋_GB2312" w:cs="仿宋_GB2312"/>
          <w:i/>
          <w:iCs/>
          <w:color w:val="000000" w:themeColor="text1"/>
          <w:sz w:val="32"/>
          <w:szCs w:val="32"/>
          <w:lang w:val="en-US" w:eastAsia="zh-CN" w:bidi="ar"/>
          <w14:textFill>
            <w14:solidFill>
              <w14:schemeClr w14:val="tx1"/>
            </w14:solidFill>
          </w14:textFill>
        </w:rPr>
        <w:t>SECV</w:t>
      </w: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）和决定系数（</w:t>
      </w:r>
      <w:r>
        <w:rPr>
          <w:rFonts w:hint="eastAsia" w:ascii="Times New Roman" w:hAnsi="Times New Roman" w:eastAsia="仿宋_GB2312" w:cs="仿宋_GB2312"/>
          <w:i/>
          <w:iCs/>
          <w:color w:val="000000" w:themeColor="text1"/>
          <w:sz w:val="32"/>
          <w:szCs w:val="32"/>
          <w:lang w:val="en-US" w:eastAsia="zh-CN" w:bidi="ar"/>
          <w14:textFill>
            <w14:solidFill>
              <w14:schemeClr w14:val="tx1"/>
            </w14:solidFill>
          </w14:textFill>
        </w:rPr>
        <w:t>R</w:t>
      </w:r>
      <w:r>
        <w:rPr>
          <w:rFonts w:hint="eastAsia" w:ascii="Times New Roman" w:hAnsi="Times New Roman" w:eastAsia="仿宋_GB2312" w:cs="仿宋_GB2312"/>
          <w:i/>
          <w:iCs/>
          <w:color w:val="000000" w:themeColor="text1"/>
          <w:sz w:val="32"/>
          <w:szCs w:val="32"/>
          <w:vertAlign w:val="superscript"/>
          <w:lang w:val="en-US" w:eastAsia="zh-CN" w:bidi="ar"/>
          <w14:textFill>
            <w14:solidFill>
              <w14:schemeClr w14:val="tx1"/>
            </w14:solidFill>
          </w14:textFill>
        </w:rPr>
        <w:t>2</w:t>
      </w: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）等指标对模型的质量进行评价，以选取最优的建模参数。</w:t>
      </w:r>
      <w:r>
        <w:rPr>
          <w:rFonts w:hint="eastAsia" w:ascii="Times New Roman" w:hAnsi="Times New Roman" w:eastAsia="仿宋_GB2312" w:cs="仿宋_GB2312"/>
          <w:color w:val="000000" w:themeColor="text1"/>
          <w:sz w:val="32"/>
          <w:szCs w:val="32"/>
          <w:lang w:bidi="ar"/>
          <w14:textFill>
            <w14:solidFill>
              <w14:schemeClr w14:val="tx1"/>
            </w14:solidFill>
          </w14:textFill>
        </w:rPr>
        <w:t>”</w:t>
      </w:r>
    </w:p>
    <w:p w14:paraId="41AF1F5D">
      <w:pPr>
        <w:keepNext w:val="0"/>
        <w:keepLines w:val="0"/>
        <w:pageBreakBefore w:val="0"/>
        <w:widowControl w:val="0"/>
        <w:kinsoku/>
        <w:wordWrap/>
        <w:overflowPunct/>
        <w:topLinePunct w:val="0"/>
        <w:bidi w:val="0"/>
        <w:adjustRightInd/>
        <w:snapToGrid/>
        <w:spacing w:line="600" w:lineRule="exact"/>
        <w:ind w:firstLine="643" w:firstLineChars="200"/>
        <w:rPr>
          <w:rFonts w:ascii="Times New Roman" w:hAnsi="Times New Roman" w:eastAsia="仿宋_GB2312" w:cs="仿宋_GB2312"/>
          <w:b/>
          <w:bCs/>
          <w:color w:val="000000" w:themeColor="text1"/>
          <w:sz w:val="32"/>
          <w:szCs w:val="32"/>
          <w:lang w:bidi="ar"/>
          <w14:textFill>
            <w14:solidFill>
              <w14:schemeClr w14:val="tx1"/>
            </w14:solidFill>
          </w14:textFill>
        </w:rPr>
      </w:pPr>
      <w:r>
        <w:rPr>
          <w:rFonts w:hint="eastAsia" w:ascii="Times New Roman" w:hAnsi="Times New Roman" w:eastAsia="仿宋_GB2312" w:cs="仿宋_GB2312"/>
          <w:b/>
          <w:bCs/>
          <w:color w:val="000000" w:themeColor="text1"/>
          <w:sz w:val="32"/>
          <w:szCs w:val="32"/>
          <w:lang w:bidi="ar"/>
          <w14:textFill>
            <w14:solidFill>
              <w14:schemeClr w14:val="tx1"/>
            </w14:solidFill>
          </w14:textFill>
        </w:rPr>
        <w:t>4.</w:t>
      </w:r>
      <w:r>
        <w:rPr>
          <w:rFonts w:hint="eastAsia" w:ascii="Times New Roman" w:hAnsi="Times New Roman" w:eastAsia="仿宋_GB2312" w:cs="仿宋_GB2312"/>
          <w:b/>
          <w:bCs/>
          <w:color w:val="000000" w:themeColor="text1"/>
          <w:sz w:val="32"/>
          <w:szCs w:val="32"/>
          <w:lang w:eastAsia="zh-CN" w:bidi="ar"/>
          <w14:textFill>
            <w14:solidFill>
              <w14:schemeClr w14:val="tx1"/>
            </w14:solidFill>
          </w14:textFill>
        </w:rPr>
        <w:t>定标模型</w:t>
      </w:r>
      <w:r>
        <w:rPr>
          <w:rFonts w:hint="eastAsia" w:ascii="Times New Roman" w:hAnsi="Times New Roman" w:eastAsia="仿宋_GB2312" w:cs="仿宋_GB2312"/>
          <w:b/>
          <w:bCs/>
          <w:color w:val="000000" w:themeColor="text1"/>
          <w:sz w:val="32"/>
          <w:szCs w:val="32"/>
          <w:lang w:bidi="ar"/>
          <w14:textFill>
            <w14:solidFill>
              <w14:schemeClr w14:val="tx1"/>
            </w14:solidFill>
          </w14:textFill>
        </w:rPr>
        <w:t>的验证</w:t>
      </w:r>
    </w:p>
    <w:p w14:paraId="2EE99B57">
      <w:pPr>
        <w:pStyle w:val="2"/>
        <w:keepNext w:val="0"/>
        <w:keepLines w:val="0"/>
        <w:pageBreakBefore w:val="0"/>
        <w:widowControl w:val="0"/>
        <w:kinsoku/>
        <w:wordWrap/>
        <w:overflowPunct/>
        <w:topLinePunct w:val="0"/>
        <w:bidi w:val="0"/>
        <w:adjustRightInd/>
        <w:snapToGrid/>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在模型建立完成后，需要用一组验证集样品对模型的准确性、重复性等性能进行验证。验证集样品应包含待测样品所包含的所有化学组分，验证集样品的浓度或性质范围要至少覆盖校正集样品的浓度或性质范围的 95%，且分布是均匀的。此外，验证集样品的样品数量应足够多以便进行统计检验，通常要求不少于28个样品。</w:t>
      </w:r>
    </w:p>
    <w:p w14:paraId="682EE29F">
      <w:pPr>
        <w:pStyle w:val="2"/>
        <w:keepNext w:val="0"/>
        <w:keepLines w:val="0"/>
        <w:pageBreakBefore w:val="0"/>
        <w:widowControl w:val="0"/>
        <w:kinsoku/>
        <w:wordWrap/>
        <w:overflowPunct/>
        <w:topLinePunct w:val="0"/>
        <w:bidi w:val="0"/>
        <w:adjustRightInd/>
        <w:snapToGrid/>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（1）准确性:应完全按校正集样品的光谱测量方式测定验证集光谱，标准值的测定也应与校正集样品采用同一种方法。通常用</w:t>
      </w:r>
      <w:r>
        <w:rPr>
          <w:rFonts w:hint="eastAsia" w:ascii="Times New Roman" w:hAnsi="Times New Roman" w:eastAsia="仿宋_GB2312" w:cs="仿宋_GB2312"/>
          <w:i/>
          <w:iCs/>
          <w:color w:val="000000" w:themeColor="text1"/>
          <w:sz w:val="32"/>
          <w:szCs w:val="32"/>
          <w:lang w:val="en-US" w:eastAsia="zh-CN"/>
          <w14:textFill>
            <w14:solidFill>
              <w14:schemeClr w14:val="tx1"/>
            </w14:solidFill>
          </w14:textFill>
        </w:rPr>
        <w:t>SEP、</w:t>
      </w:r>
      <w:r>
        <w:rPr>
          <w:rFonts w:hint="eastAsia" w:ascii="Times New Roman" w:hAnsi="Times New Roman" w:eastAsia="仿宋_GB2312" w:cs="仿宋_GB2312"/>
          <w:i/>
          <w:iCs/>
          <w:color w:val="000000" w:themeColor="text1"/>
          <w:sz w:val="32"/>
          <w:szCs w:val="32"/>
          <w:lang w:val="en-US" w:eastAsia="zh-CN" w:bidi="ar"/>
          <w14:textFill>
            <w14:solidFill>
              <w14:schemeClr w14:val="tx1"/>
            </w14:solidFill>
          </w14:textFill>
        </w:rPr>
        <w:t>R</w:t>
      </w:r>
      <w:r>
        <w:rPr>
          <w:rFonts w:hint="eastAsia" w:ascii="Times New Roman" w:hAnsi="Times New Roman" w:eastAsia="仿宋_GB2312" w:cs="仿宋_GB2312"/>
          <w:i/>
          <w:iCs/>
          <w:color w:val="000000" w:themeColor="text1"/>
          <w:sz w:val="32"/>
          <w:szCs w:val="32"/>
          <w:vertAlign w:val="subscript"/>
          <w:lang w:val="en-US" w:eastAsia="zh-CN" w:bidi="ar"/>
          <w14:textFill>
            <w14:solidFill>
              <w14:schemeClr w14:val="tx1"/>
            </w14:solidFill>
          </w14:textFill>
        </w:rPr>
        <w:t>p</w:t>
      </w:r>
      <w:r>
        <w:rPr>
          <w:rFonts w:hint="eastAsia" w:ascii="Times New Roman" w:hAnsi="Times New Roman" w:eastAsia="仿宋_GB2312" w:cs="仿宋_GB2312"/>
          <w:i/>
          <w:iCs/>
          <w:color w:val="000000" w:themeColor="text1"/>
          <w:sz w:val="32"/>
          <w:szCs w:val="32"/>
          <w:vertAlign w:val="superscript"/>
          <w:lang w:val="en-US" w:eastAsia="zh-CN" w:bidi="ar"/>
          <w14:textFill>
            <w14:solidFill>
              <w14:schemeClr w14:val="tx1"/>
            </w14:solidFill>
          </w14:textFill>
        </w:rPr>
        <w:t>2</w:t>
      </w:r>
      <w:r>
        <w:rPr>
          <w:rFonts w:hint="eastAsia" w:ascii="Times New Roman" w:hAnsi="Times New Roman" w:eastAsia="仿宋_GB2312" w:cs="仿宋_GB2312"/>
          <w:i/>
          <w:iCs/>
          <w:color w:val="000000" w:themeColor="text1"/>
          <w:sz w:val="32"/>
          <w:szCs w:val="32"/>
          <w:lang w:val="en-US" w:eastAsia="zh-CN"/>
          <w14:textFill>
            <w14:solidFill>
              <w14:schemeClr w14:val="tx1"/>
            </w14:solidFill>
          </w14:textFill>
        </w:rPr>
        <w:t>、RPD</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等参数来评价模型的准确性。</w:t>
      </w:r>
    </w:p>
    <w:p w14:paraId="60FB2BDF">
      <w:pPr>
        <w:pStyle w:val="2"/>
        <w:keepNext w:val="0"/>
        <w:keepLines w:val="0"/>
        <w:pageBreakBefore w:val="0"/>
        <w:widowControl w:val="0"/>
        <w:kinsoku/>
        <w:wordWrap/>
        <w:overflowPunct/>
        <w:topLinePunct w:val="0"/>
        <w:bidi w:val="0"/>
        <w:adjustRightInd/>
        <w:snapToGrid/>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重复性:从验证集中选取5个以上样品，这些样品的浓度必须覆盖校正集浓度范围的95%，且是均匀分布的。对每个样品分别进行至少6次连续光谱测量，光谱采集时要重复装样，用建立的定标模型计算结果，通过平均值、极差和标准偏差来评价NIR方法的重复性。</w:t>
      </w:r>
    </w:p>
    <w:p w14:paraId="35944983">
      <w:pPr>
        <w:pStyle w:val="2"/>
        <w:keepNext w:val="0"/>
        <w:keepLines w:val="0"/>
        <w:pageBreakBefore w:val="0"/>
        <w:widowControl w:val="0"/>
        <w:kinsoku/>
        <w:wordWrap/>
        <w:overflowPunct/>
        <w:topLinePunct w:val="0"/>
        <w:bidi w:val="0"/>
        <w:adjustRightInd/>
        <w:snapToGrid/>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因此本标准将定标模型的验证定义为“7.4.1出现下列情况之一，需要验证定标模型：</w:t>
      </w:r>
    </w:p>
    <w:p w14:paraId="2CF3E6B8">
      <w:pPr>
        <w:pStyle w:val="2"/>
        <w:keepNext w:val="0"/>
        <w:keepLines w:val="0"/>
        <w:pageBreakBefore w:val="0"/>
        <w:widowControl w:val="0"/>
        <w:kinsoku/>
        <w:wordWrap/>
        <w:overflowPunct/>
        <w:topLinePunct w:val="0"/>
        <w:bidi w:val="0"/>
        <w:adjustRightInd/>
        <w:snapToGrid/>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——定标模型首次使用时，或定标模型升级后，或更换仪器时；</w:t>
      </w:r>
    </w:p>
    <w:p w14:paraId="53539DC3">
      <w:pPr>
        <w:pStyle w:val="2"/>
        <w:keepNext w:val="0"/>
        <w:keepLines w:val="0"/>
        <w:pageBreakBefore w:val="0"/>
        <w:widowControl w:val="0"/>
        <w:kinsoku/>
        <w:wordWrap/>
        <w:overflowPunct/>
        <w:topLinePunct w:val="0"/>
        <w:bidi w:val="0"/>
        <w:adjustRightInd/>
        <w:snapToGrid/>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——样品品种或性质与建立定标模型所采用样品的品种或性质有很大差异；</w:t>
      </w:r>
    </w:p>
    <w:p w14:paraId="3B1E17C9">
      <w:pPr>
        <w:pStyle w:val="2"/>
        <w:keepNext w:val="0"/>
        <w:keepLines w:val="0"/>
        <w:pageBreakBefore w:val="0"/>
        <w:widowControl w:val="0"/>
        <w:kinsoku/>
        <w:wordWrap/>
        <w:overflowPunct/>
        <w:topLinePunct w:val="0"/>
        <w:bidi w:val="0"/>
        <w:adjustRightInd/>
        <w:snapToGrid/>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——仪器维修或更换光源配件后；</w:t>
      </w:r>
    </w:p>
    <w:p w14:paraId="28B9D0B3">
      <w:pPr>
        <w:pStyle w:val="2"/>
        <w:keepNext w:val="0"/>
        <w:keepLines w:val="0"/>
        <w:pageBreakBefore w:val="0"/>
        <w:widowControl w:val="0"/>
        <w:kinsoku/>
        <w:wordWrap/>
        <w:overflowPunct/>
        <w:topLinePunct w:val="0"/>
        <w:bidi w:val="0"/>
        <w:adjustRightInd/>
        <w:snapToGrid/>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——每年至少需要验证2次。</w:t>
      </w:r>
    </w:p>
    <w:p w14:paraId="75BFA1C1">
      <w:pPr>
        <w:pStyle w:val="2"/>
        <w:keepNext w:val="0"/>
        <w:keepLines w:val="0"/>
        <w:pageBreakBefore w:val="0"/>
        <w:widowControl w:val="0"/>
        <w:kinsoku/>
        <w:wordWrap/>
        <w:overflowPunct/>
        <w:topLinePunct w:val="0"/>
        <w:bidi w:val="0"/>
        <w:adjustRightInd/>
        <w:snapToGrid/>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7.4.2准确性验证。选择30份以上校正集样品以外的大米样品作为验证集，其代表性要求与校正集样品一致，直链淀粉含量范围应至少覆盖校正集样品范围的95%，且分布均匀。应用7.3建立的模型对验证集的直链淀粉含量进行预测，按7.2规定的方法测定其标准理化分析值，以预测标准偏差（</w:t>
      </w:r>
      <w:r>
        <w:rPr>
          <w:rFonts w:hint="eastAsia" w:ascii="Times New Roman" w:hAnsi="Times New Roman" w:eastAsia="仿宋_GB2312" w:cs="仿宋_GB2312"/>
          <w:i/>
          <w:iCs/>
          <w:color w:val="000000" w:themeColor="text1"/>
          <w:sz w:val="32"/>
          <w:szCs w:val="32"/>
          <w:lang w:val="en-US" w:eastAsia="zh-CN"/>
          <w14:textFill>
            <w14:solidFill>
              <w14:schemeClr w14:val="tx1"/>
            </w14:solidFill>
          </w14:textFill>
        </w:rPr>
        <w:t>SEP</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）、决定系数（</w:t>
      </w:r>
      <w:r>
        <w:rPr>
          <w:rFonts w:hint="eastAsia" w:ascii="Times New Roman" w:hAnsi="Times New Roman" w:eastAsia="仿宋_GB2312" w:cs="仿宋_GB2312"/>
          <w:i/>
          <w:iCs/>
          <w:color w:val="000000" w:themeColor="text1"/>
          <w:sz w:val="32"/>
          <w:szCs w:val="32"/>
          <w:lang w:val="en-US" w:eastAsia="zh-CN"/>
          <w14:textFill>
            <w14:solidFill>
              <w14:schemeClr w14:val="tx1"/>
            </w14:solidFill>
          </w14:textFill>
        </w:rPr>
        <w:t>R</w:t>
      </w:r>
      <w:r>
        <w:rPr>
          <w:rFonts w:hint="eastAsia" w:ascii="Times New Roman" w:hAnsi="Times New Roman" w:eastAsia="仿宋_GB2312" w:cs="仿宋_GB2312"/>
          <w:i/>
          <w:iCs/>
          <w:color w:val="000000" w:themeColor="text1"/>
          <w:sz w:val="32"/>
          <w:szCs w:val="32"/>
          <w:vertAlign w:val="superscript"/>
          <w:lang w:val="en-US" w:eastAsia="zh-CN"/>
          <w14:textFill>
            <w14:solidFill>
              <w14:schemeClr w14:val="tx1"/>
            </w14:solidFill>
          </w14:textFill>
        </w:rPr>
        <w:t>2</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）和验证集标准偏差与预测标准偏差的比值（</w:t>
      </w:r>
      <w:r>
        <w:rPr>
          <w:rFonts w:hint="eastAsia" w:ascii="Times New Roman" w:hAnsi="Times New Roman" w:eastAsia="仿宋_GB2312" w:cs="仿宋_GB2312"/>
          <w:i/>
          <w:iCs/>
          <w:color w:val="000000" w:themeColor="text1"/>
          <w:sz w:val="32"/>
          <w:szCs w:val="32"/>
          <w:lang w:val="en-US" w:eastAsia="zh-CN"/>
          <w14:textFill>
            <w14:solidFill>
              <w14:schemeClr w14:val="tx1"/>
            </w14:solidFill>
          </w14:textFill>
        </w:rPr>
        <w:t>RPD</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）等指标来评价定标模型的准确性，其中，</w:t>
      </w:r>
      <w:r>
        <w:rPr>
          <w:rFonts w:hint="eastAsia" w:ascii="Times New Roman" w:hAnsi="Times New Roman" w:eastAsia="仿宋_GB2312" w:cs="仿宋_GB2312"/>
          <w:i/>
          <w:iCs/>
          <w:color w:val="000000" w:themeColor="text1"/>
          <w:sz w:val="32"/>
          <w:szCs w:val="32"/>
          <w:lang w:val="en-US" w:eastAsia="zh-CN"/>
          <w14:textFill>
            <w14:solidFill>
              <w14:schemeClr w14:val="tx1"/>
            </w14:solidFill>
          </w14:textFill>
        </w:rPr>
        <w:t>SEP</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应符合10.1的要求。对不符合要求的，不能通过验证，应查明原因，重新进行验证，直至符合要求。</w:t>
      </w:r>
    </w:p>
    <w:p w14:paraId="3164AB34">
      <w:pPr>
        <w:pStyle w:val="2"/>
        <w:keepNext w:val="0"/>
        <w:keepLines w:val="0"/>
        <w:pageBreakBefore w:val="0"/>
        <w:widowControl w:val="0"/>
        <w:kinsoku/>
        <w:wordWrap/>
        <w:overflowPunct/>
        <w:topLinePunct w:val="0"/>
        <w:bidi w:val="0"/>
        <w:adjustRightInd/>
        <w:snapToGrid/>
        <w:ind w:firstLine="640" w:firstLineChars="200"/>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7.4.3重复性验证。从验证集中选取5个以上的样品，其浓度必须覆盖校正集浓度范围的95%，且分布均匀。按7.1的方法对每个样品进行至少6次连续光谱采集，用定标模型计算结果，所得测定结果的重复性应符合标10.2的要求。对不符合要求的，不能通过验证，应查明原因，重新进行验证，直至符合要求。”</w:t>
      </w:r>
    </w:p>
    <w:p w14:paraId="0AA02C95">
      <w:pPr>
        <w:keepNext w:val="0"/>
        <w:keepLines w:val="0"/>
        <w:pageBreakBefore w:val="0"/>
        <w:widowControl w:val="0"/>
        <w:kinsoku/>
        <w:wordWrap/>
        <w:overflowPunct/>
        <w:topLinePunct w:val="0"/>
        <w:bidi w:val="0"/>
        <w:adjustRightInd/>
        <w:snapToGrid/>
        <w:spacing w:line="600" w:lineRule="exact"/>
        <w:ind w:firstLine="643" w:firstLineChars="200"/>
        <w:rPr>
          <w:rFonts w:ascii="Times New Roman" w:hAnsi="Times New Roman" w:eastAsia="仿宋_GB2312" w:cs="仿宋_GB2312"/>
          <w:b/>
          <w:bCs/>
          <w:color w:val="000000" w:themeColor="text1"/>
          <w:sz w:val="32"/>
          <w:szCs w:val="32"/>
          <w:lang w:bidi="ar"/>
          <w14:textFill>
            <w14:solidFill>
              <w14:schemeClr w14:val="tx1"/>
            </w14:solidFill>
          </w14:textFill>
        </w:rPr>
      </w:pPr>
      <w:r>
        <w:rPr>
          <w:rFonts w:hint="eastAsia" w:ascii="Times New Roman" w:hAnsi="Times New Roman" w:eastAsia="仿宋_GB2312" w:cs="仿宋_GB2312"/>
          <w:b/>
          <w:bCs/>
          <w:color w:val="000000" w:themeColor="text1"/>
          <w:sz w:val="32"/>
          <w:szCs w:val="32"/>
          <w:lang w:bidi="ar"/>
          <w14:textFill>
            <w14:solidFill>
              <w14:schemeClr w14:val="tx1"/>
            </w14:solidFill>
          </w14:textFill>
        </w:rPr>
        <w:t>5</w:t>
      </w:r>
      <w:r>
        <w:rPr>
          <w:rFonts w:ascii="Times New Roman" w:hAnsi="Times New Roman" w:eastAsia="仿宋_GB2312" w:cs="仿宋_GB2312"/>
          <w:b/>
          <w:bCs/>
          <w:color w:val="000000" w:themeColor="text1"/>
          <w:sz w:val="32"/>
          <w:szCs w:val="32"/>
          <w:lang w:bidi="ar"/>
          <w14:textFill>
            <w14:solidFill>
              <w14:schemeClr w14:val="tx1"/>
            </w14:solidFill>
          </w14:textFill>
        </w:rPr>
        <w:t>.</w:t>
      </w:r>
      <w:r>
        <w:rPr>
          <w:rFonts w:hint="eastAsia" w:ascii="Times New Roman" w:hAnsi="Times New Roman" w:eastAsia="仿宋_GB2312" w:cs="仿宋_GB2312"/>
          <w:b/>
          <w:bCs/>
          <w:color w:val="000000" w:themeColor="text1"/>
          <w:sz w:val="32"/>
          <w:szCs w:val="32"/>
          <w:lang w:eastAsia="zh-CN" w:bidi="ar"/>
          <w14:textFill>
            <w14:solidFill>
              <w14:schemeClr w14:val="tx1"/>
            </w14:solidFill>
          </w14:textFill>
        </w:rPr>
        <w:t>定标模型</w:t>
      </w:r>
      <w:r>
        <w:rPr>
          <w:rFonts w:ascii="Times New Roman" w:hAnsi="Times New Roman" w:eastAsia="仿宋_GB2312" w:cs="仿宋_GB2312"/>
          <w:b/>
          <w:bCs/>
          <w:color w:val="000000" w:themeColor="text1"/>
          <w:sz w:val="32"/>
          <w:szCs w:val="32"/>
          <w:lang w:bidi="ar"/>
          <w14:textFill>
            <w14:solidFill>
              <w14:schemeClr w14:val="tx1"/>
            </w14:solidFill>
          </w14:textFill>
        </w:rPr>
        <w:t>的升级</w:t>
      </w:r>
    </w:p>
    <w:p w14:paraId="55D275C1">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eastAsia="zh-CN"/>
          <w14:textFill>
            <w14:solidFill>
              <w14:schemeClr w14:val="tx1"/>
            </w14:solidFill>
          </w14:textFill>
        </w:rPr>
      </w:pPr>
      <w:r>
        <w:rPr>
          <w:rFonts w:hint="eastAsia" w:ascii="Times New Roman" w:hAnsi="Times New Roman" w:eastAsia="仿宋_GB2312" w:cs="仿宋_GB2312"/>
          <w:color w:val="000000" w:themeColor="text1"/>
          <w:sz w:val="32"/>
          <w:szCs w:val="32"/>
          <w:lang w:eastAsia="zh-CN"/>
          <w14:textFill>
            <w14:solidFill>
              <w14:schemeClr w14:val="tx1"/>
            </w14:solidFill>
          </w14:textFill>
        </w:rPr>
        <w:t>定标模型的升级是近红外光谱分析方法的主要内容之一，不论用户采用的仪器和软件有多先进、模型库有多大，其所建立的定标模型都不是一劳永逸的。在实际应用过程中，模型的升级是必须和必要的，甚至在很多时候，这一工作成为影响近红外光谱分析是否成功应用的关键性因素。模型更新可分为两类：</w:t>
      </w:r>
    </w:p>
    <w:p w14:paraId="4A7A3222">
      <w:pPr>
        <w:keepNext w:val="0"/>
        <w:keepLines w:val="0"/>
        <w:pageBreakBefore w:val="0"/>
        <w:widowControl w:val="0"/>
        <w:kinsoku/>
        <w:wordWrap/>
        <w:overflowPunct/>
        <w:topLinePunct w:val="0"/>
        <w:bidi w:val="0"/>
        <w:adjustRightInd/>
        <w:snapToGrid/>
        <w:spacing w:line="600" w:lineRule="exact"/>
        <w:ind w:firstLine="640" w:firstLineChars="200"/>
        <w:rPr>
          <w:rFonts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lang w:eastAsia="zh-CN"/>
          <w14:textFill>
            <w14:solidFill>
              <w14:schemeClr w14:val="tx1"/>
            </w14:solidFill>
          </w14:textFill>
        </w:rPr>
        <w:t>一是遇到模型界外样品。这时应搞清模型界外样品产生的原因，是待测样品的化学组分发生了变化，还是非样品化学组成因素引起的，如环境引起的光谱仪改变、光源工作异常、样品温度或粒度等发生显著变化等。若是第一种情况，需要及时将这些样品补充到样品集中，对定标模型进行升级，扩充模型的覆盖范围。若属于第二种情况，则需要找出具体原因，加以解决，如排除硬件故障，保证分析条件的一致性。对于样品温度、水分含量或粒度等因素引起的界外样品，也可通过将这些变动因素引入模型的办法来解决，但这样做会在一定程度上降低模型的精度。二是对模型定期升级。这是建立稳健定标模型的需要，因为仪器或样品的一些微小的变动，在很多时候通过模型适用性判据很难做出判别。所以，非常有必要利用定期验证样品的对比数据，集中对模型进行更新，以提高模型的稳健性。因此本标准将定标模型的升级定义为“为增强定标模型的分析能力，每年至少</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升级定标模型1次：</w:t>
      </w:r>
      <w:r>
        <w:rPr>
          <w:rFonts w:hint="eastAsia" w:ascii="Times New Roman" w:hAnsi="Times New Roman" w:eastAsia="仿宋_GB2312" w:cs="仿宋_GB2312"/>
          <w:color w:val="000000" w:themeColor="text1"/>
          <w:sz w:val="32"/>
          <w:szCs w:val="32"/>
          <w:lang w:eastAsia="zh-CN"/>
          <w14:textFill>
            <w14:solidFill>
              <w14:schemeClr w14:val="tx1"/>
            </w14:solidFill>
          </w14:textFill>
        </w:rPr>
        <w:t>收集</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w:t>
      </w:r>
      <w:r>
        <w:rPr>
          <w:rFonts w:hint="eastAsia" w:ascii="Times New Roman" w:hAnsi="Times New Roman" w:eastAsia="仿宋_GB2312" w:cs="仿宋_GB2312"/>
          <w:color w:val="000000" w:themeColor="text1"/>
          <w:sz w:val="32"/>
          <w:szCs w:val="32"/>
          <w:lang w:eastAsia="zh-CN"/>
          <w14:textFill>
            <w14:solidFill>
              <w14:schemeClr w14:val="tx1"/>
            </w14:solidFill>
          </w14:textFill>
        </w:rPr>
        <w:t>0</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~30</w:t>
      </w:r>
      <w:r>
        <w:rPr>
          <w:rFonts w:hint="eastAsia" w:ascii="Times New Roman" w:hAnsi="Times New Roman" w:eastAsia="仿宋_GB2312" w:cs="仿宋_GB2312"/>
          <w:color w:val="000000" w:themeColor="text1"/>
          <w:sz w:val="32"/>
          <w:szCs w:val="32"/>
          <w:lang w:eastAsia="zh-CN"/>
          <w14:textFill>
            <w14:solidFill>
              <w14:schemeClr w14:val="tx1"/>
            </w14:solidFill>
          </w14:textFill>
        </w:rPr>
        <w:t>份</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具有代表性的待测样品</w:t>
      </w:r>
      <w:r>
        <w:rPr>
          <w:rFonts w:hint="eastAsia" w:ascii="Times New Roman" w:hAnsi="Times New Roman" w:eastAsia="仿宋_GB2312" w:cs="仿宋_GB2312"/>
          <w:color w:val="000000" w:themeColor="text1"/>
          <w:sz w:val="32"/>
          <w:szCs w:val="32"/>
          <w:lang w:eastAsia="zh-CN"/>
          <w14:textFill>
            <w14:solidFill>
              <w14:schemeClr w14:val="tx1"/>
            </w14:solidFill>
          </w14:textFill>
        </w:rPr>
        <w:t>，采集</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其</w:t>
      </w:r>
      <w:r>
        <w:rPr>
          <w:rFonts w:hint="eastAsia" w:ascii="Times New Roman" w:hAnsi="Times New Roman" w:eastAsia="仿宋_GB2312" w:cs="仿宋_GB2312"/>
          <w:color w:val="000000" w:themeColor="text1"/>
          <w:sz w:val="32"/>
          <w:szCs w:val="32"/>
          <w:lang w:eastAsia="zh-CN"/>
          <w14:textFill>
            <w14:solidFill>
              <w14:schemeClr w14:val="tx1"/>
            </w14:solidFill>
          </w14:textFill>
        </w:rPr>
        <w:t>近红外光谱，采用7.2标准理化分析方法测定其直链淀粉含量，然后将这些样品加入到校正集样品中，用原有的建模方法重新</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建立模型</w:t>
      </w:r>
      <w:r>
        <w:rPr>
          <w:rFonts w:hint="eastAsia" w:ascii="Times New Roman" w:hAnsi="Times New Roman" w:eastAsia="仿宋_GB2312" w:cs="仿宋_GB2312"/>
          <w:color w:val="000000" w:themeColor="text1"/>
          <w:sz w:val="32"/>
          <w:szCs w:val="32"/>
          <w:lang w:eastAsia="zh-CN"/>
          <w14:textFill>
            <w14:solidFill>
              <w14:schemeClr w14:val="tx1"/>
            </w14:solidFill>
          </w14:textFill>
        </w:rPr>
        <w:t>，</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并按照7.4进行验证。</w:t>
      </w:r>
      <w:r>
        <w:rPr>
          <w:rFonts w:hint="eastAsia" w:ascii="Times New Roman" w:hAnsi="Times New Roman" w:eastAsia="仿宋_GB2312" w:cs="仿宋_GB2312"/>
          <w:color w:val="000000" w:themeColor="text1"/>
          <w:sz w:val="32"/>
          <w:szCs w:val="32"/>
          <w:lang w:eastAsia="zh-CN"/>
          <w14:textFill>
            <w14:solidFill>
              <w14:schemeClr w14:val="tx1"/>
            </w14:solidFill>
          </w14:textFill>
        </w:rPr>
        <w:t>”</w:t>
      </w:r>
    </w:p>
    <w:p w14:paraId="76EEF6C9">
      <w:pPr>
        <w:keepNext w:val="0"/>
        <w:keepLines w:val="0"/>
        <w:pageBreakBefore w:val="0"/>
        <w:widowControl w:val="0"/>
        <w:kinsoku/>
        <w:wordWrap/>
        <w:overflowPunct/>
        <w:topLinePunct w:val="0"/>
        <w:bidi w:val="0"/>
        <w:adjustRightInd/>
        <w:snapToGrid/>
        <w:spacing w:line="600" w:lineRule="exact"/>
        <w:ind w:firstLine="643" w:firstLineChars="200"/>
        <w:rPr>
          <w:rFonts w:hint="eastAsia" w:ascii="Times New Roman" w:hAnsi="Times New Roman" w:eastAsia="楷体_GB2312" w:cs="楷体_GB2312"/>
          <w:b/>
          <w:bCs/>
          <w:color w:val="000000" w:themeColor="text1"/>
          <w:sz w:val="32"/>
          <w:szCs w:val="32"/>
          <w14:textFill>
            <w14:solidFill>
              <w14:schemeClr w14:val="tx1"/>
            </w14:solidFill>
          </w14:textFill>
        </w:rPr>
      </w:pPr>
      <w:r>
        <w:rPr>
          <w:rFonts w:hint="eastAsia" w:ascii="Times New Roman" w:hAnsi="Times New Roman" w:eastAsia="楷体_GB2312" w:cs="楷体_GB2312"/>
          <w:b/>
          <w:bCs/>
          <w:color w:val="000000" w:themeColor="text1"/>
          <w:sz w:val="32"/>
          <w:szCs w:val="32"/>
          <w14:textFill>
            <w14:solidFill>
              <w14:schemeClr w14:val="tx1"/>
            </w14:solidFill>
          </w14:textFill>
        </w:rPr>
        <w:t>（七）样品检测和结果</w:t>
      </w:r>
    </w:p>
    <w:p w14:paraId="072B3A5C">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eastAsia="zh-CN"/>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近红外光谱</w:t>
      </w:r>
      <w:r>
        <w:rPr>
          <w:rFonts w:hint="eastAsia" w:ascii="Times New Roman" w:hAnsi="Times New Roman" w:eastAsia="仿宋_GB2312" w:cs="仿宋_GB2312"/>
          <w:color w:val="000000" w:themeColor="text1"/>
          <w:sz w:val="32"/>
          <w:szCs w:val="32"/>
          <w:lang w:eastAsia="zh-CN"/>
          <w14:textFill>
            <w14:solidFill>
              <w14:schemeClr w14:val="tx1"/>
            </w14:solidFill>
          </w14:textFill>
        </w:rPr>
        <w:t>定标模型</w:t>
      </w:r>
      <w:r>
        <w:rPr>
          <w:rFonts w:hint="eastAsia" w:ascii="Times New Roman" w:hAnsi="Times New Roman" w:eastAsia="仿宋_GB2312" w:cs="仿宋_GB2312"/>
          <w:color w:val="000000" w:themeColor="text1"/>
          <w:sz w:val="32"/>
          <w:szCs w:val="32"/>
          <w14:textFill>
            <w14:solidFill>
              <w14:schemeClr w14:val="tx1"/>
            </w14:solidFill>
          </w14:textFill>
        </w:rPr>
        <w:t>经过验证后，便可对日常</w:t>
      </w:r>
      <w:r>
        <w:rPr>
          <w:rFonts w:hint="eastAsia" w:ascii="Times New Roman" w:hAnsi="Times New Roman" w:eastAsia="仿宋_GB2312" w:cs="仿宋_GB2312"/>
          <w:color w:val="000000" w:themeColor="text1"/>
          <w:sz w:val="32"/>
          <w:szCs w:val="32"/>
          <w:lang w:eastAsia="zh-CN"/>
          <w14:textFill>
            <w14:solidFill>
              <w14:schemeClr w14:val="tx1"/>
            </w14:solidFill>
          </w14:textFill>
        </w:rPr>
        <w:t>样品</w:t>
      </w:r>
      <w:r>
        <w:rPr>
          <w:rFonts w:hint="eastAsia" w:ascii="Times New Roman" w:hAnsi="Times New Roman" w:eastAsia="仿宋_GB2312" w:cs="仿宋_GB2312"/>
          <w:color w:val="000000" w:themeColor="text1"/>
          <w:sz w:val="32"/>
          <w:szCs w:val="32"/>
          <w14:textFill>
            <w14:solidFill>
              <w14:schemeClr w14:val="tx1"/>
            </w14:solidFill>
          </w14:textFill>
        </w:rPr>
        <w:t>进行快速测定。应完全按照校正集</w:t>
      </w:r>
      <w:r>
        <w:rPr>
          <w:rFonts w:hint="eastAsia" w:ascii="Times New Roman" w:hAnsi="Times New Roman" w:eastAsia="仿宋_GB2312" w:cs="仿宋_GB2312"/>
          <w:color w:val="000000" w:themeColor="text1"/>
          <w:sz w:val="32"/>
          <w:szCs w:val="32"/>
          <w:lang w:eastAsia="zh-CN"/>
          <w14:textFill>
            <w14:solidFill>
              <w14:schemeClr w14:val="tx1"/>
            </w14:solidFill>
          </w14:textFill>
        </w:rPr>
        <w:t>样品</w:t>
      </w:r>
      <w:r>
        <w:rPr>
          <w:rFonts w:hint="eastAsia" w:ascii="Times New Roman" w:hAnsi="Times New Roman" w:eastAsia="仿宋_GB2312" w:cs="仿宋_GB2312"/>
          <w:color w:val="000000" w:themeColor="text1"/>
          <w:sz w:val="32"/>
          <w:szCs w:val="32"/>
          <w14:textFill>
            <w14:solidFill>
              <w14:schemeClr w14:val="tx1"/>
            </w14:solidFill>
          </w14:textFill>
        </w:rPr>
        <w:t>的光谱测量方式采集光谱，如分辨率、背景采集方式、</w:t>
      </w:r>
      <w:r>
        <w:rPr>
          <w:rFonts w:hint="eastAsia" w:ascii="Times New Roman" w:hAnsi="Times New Roman" w:eastAsia="仿宋_GB2312" w:cs="仿宋_GB2312"/>
          <w:color w:val="000000" w:themeColor="text1"/>
          <w:sz w:val="32"/>
          <w:szCs w:val="32"/>
          <w:lang w:eastAsia="zh-CN"/>
          <w14:textFill>
            <w14:solidFill>
              <w14:schemeClr w14:val="tx1"/>
            </w14:solidFill>
          </w14:textFill>
        </w:rPr>
        <w:t>样品</w:t>
      </w:r>
      <w:r>
        <w:rPr>
          <w:rFonts w:hint="eastAsia" w:ascii="Times New Roman" w:hAnsi="Times New Roman" w:eastAsia="仿宋_GB2312" w:cs="仿宋_GB2312"/>
          <w:color w:val="000000" w:themeColor="text1"/>
          <w:sz w:val="32"/>
          <w:szCs w:val="32"/>
          <w14:textFill>
            <w14:solidFill>
              <w14:schemeClr w14:val="tx1"/>
            </w14:solidFill>
          </w14:textFill>
        </w:rPr>
        <w:t>和环境温度、装样方式和</w:t>
      </w:r>
      <w:r>
        <w:rPr>
          <w:rFonts w:hint="eastAsia" w:ascii="Times New Roman" w:hAnsi="Times New Roman" w:eastAsia="仿宋_GB2312" w:cs="仿宋_GB2312"/>
          <w:color w:val="000000" w:themeColor="text1"/>
          <w:sz w:val="32"/>
          <w:szCs w:val="32"/>
          <w:lang w:eastAsia="zh-CN"/>
          <w14:textFill>
            <w14:solidFill>
              <w14:schemeClr w14:val="tx1"/>
            </w14:solidFill>
          </w14:textFill>
        </w:rPr>
        <w:t>样品</w:t>
      </w:r>
      <w:r>
        <w:rPr>
          <w:rFonts w:hint="eastAsia" w:ascii="Times New Roman" w:hAnsi="Times New Roman" w:eastAsia="仿宋_GB2312" w:cs="仿宋_GB2312"/>
          <w:color w:val="000000" w:themeColor="text1"/>
          <w:sz w:val="32"/>
          <w:szCs w:val="32"/>
          <w14:textFill>
            <w14:solidFill>
              <w14:schemeClr w14:val="tx1"/>
            </w14:solidFill>
          </w14:textFill>
        </w:rPr>
        <w:t>预处理方式</w:t>
      </w:r>
      <w:r>
        <w:rPr>
          <w:rFonts w:hint="eastAsia" w:ascii="Times New Roman" w:hAnsi="Times New Roman" w:eastAsia="仿宋_GB2312" w:cs="仿宋_GB2312"/>
          <w:color w:val="000000" w:themeColor="text1"/>
          <w:sz w:val="32"/>
          <w:szCs w:val="32"/>
          <w:lang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如粉碎程度</w:t>
      </w:r>
      <w:r>
        <w:rPr>
          <w:rFonts w:hint="eastAsia" w:ascii="Times New Roman" w:hAnsi="Times New Roman" w:eastAsia="仿宋_GB2312" w:cs="仿宋_GB2312"/>
          <w:color w:val="000000" w:themeColor="text1"/>
          <w:sz w:val="32"/>
          <w:szCs w:val="32"/>
          <w:lang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等。在对未知</w:t>
      </w:r>
      <w:r>
        <w:rPr>
          <w:rFonts w:hint="eastAsia" w:ascii="Times New Roman" w:hAnsi="Times New Roman" w:eastAsia="仿宋_GB2312" w:cs="仿宋_GB2312"/>
          <w:color w:val="000000" w:themeColor="text1"/>
          <w:sz w:val="32"/>
          <w:szCs w:val="32"/>
          <w:lang w:eastAsia="zh-CN"/>
          <w14:textFill>
            <w14:solidFill>
              <w14:schemeClr w14:val="tx1"/>
            </w14:solidFill>
          </w14:textFill>
        </w:rPr>
        <w:t>样品</w:t>
      </w:r>
      <w:r>
        <w:rPr>
          <w:rFonts w:hint="eastAsia" w:ascii="Times New Roman" w:hAnsi="Times New Roman" w:eastAsia="仿宋_GB2312" w:cs="仿宋_GB2312"/>
          <w:color w:val="000000" w:themeColor="text1"/>
          <w:sz w:val="32"/>
          <w:szCs w:val="32"/>
          <w14:textFill>
            <w14:solidFill>
              <w14:schemeClr w14:val="tx1"/>
            </w14:solidFill>
          </w14:textFill>
        </w:rPr>
        <w:t>进行预测分析时，只有待测</w:t>
      </w:r>
      <w:r>
        <w:rPr>
          <w:rFonts w:hint="eastAsia" w:ascii="Times New Roman" w:hAnsi="Times New Roman" w:eastAsia="仿宋_GB2312" w:cs="仿宋_GB2312"/>
          <w:color w:val="000000" w:themeColor="text1"/>
          <w:sz w:val="32"/>
          <w:szCs w:val="32"/>
          <w:lang w:eastAsia="zh-CN"/>
          <w14:textFill>
            <w14:solidFill>
              <w14:schemeClr w14:val="tx1"/>
            </w14:solidFill>
          </w14:textFill>
        </w:rPr>
        <w:t>样品</w:t>
      </w:r>
      <w:r>
        <w:rPr>
          <w:rFonts w:hint="eastAsia" w:ascii="Times New Roman" w:hAnsi="Times New Roman" w:eastAsia="仿宋_GB2312" w:cs="仿宋_GB2312"/>
          <w:color w:val="000000" w:themeColor="text1"/>
          <w:sz w:val="32"/>
          <w:szCs w:val="32"/>
          <w14:textFill>
            <w14:solidFill>
              <w14:schemeClr w14:val="tx1"/>
            </w14:solidFill>
          </w14:textFill>
        </w:rPr>
        <w:t>在模型覆盖的范围之内，才能保证分析结果的有效性和准确性。</w:t>
      </w:r>
      <w:r>
        <w:rPr>
          <w:rFonts w:hint="eastAsia" w:ascii="Times New Roman" w:hAnsi="Times New Roman" w:eastAsia="仿宋_GB2312" w:cs="仿宋_GB2312"/>
          <w:color w:val="000000" w:themeColor="text1"/>
          <w:sz w:val="32"/>
          <w:szCs w:val="32"/>
          <w:lang w:eastAsia="zh-CN"/>
          <w14:textFill>
            <w14:solidFill>
              <w14:schemeClr w14:val="tx1"/>
            </w14:solidFill>
          </w14:textFill>
        </w:rPr>
        <w:t>因此，本标准明确样品检测须“</w:t>
      </w:r>
      <w:r>
        <w:rPr>
          <w:rFonts w:hint="eastAsia" w:ascii="Times New Roman" w:hAnsi="Times New Roman" w:eastAsia="仿宋_GB2312" w:cs="仿宋_GB2312"/>
          <w:color w:val="000000" w:themeColor="text1"/>
          <w:sz w:val="32"/>
          <w:szCs w:val="32"/>
          <w14:textFill>
            <w14:solidFill>
              <w14:schemeClr w14:val="tx1"/>
            </w14:solidFill>
          </w14:textFill>
        </w:rPr>
        <w:t>采用7.1的方法采集样品近红外光谱，仪器和采集条件应与建模过程一致。</w:t>
      </w:r>
      <w:r>
        <w:rPr>
          <w:rFonts w:hint="eastAsia" w:ascii="Times New Roman" w:hAnsi="Times New Roman" w:eastAsia="仿宋_GB2312" w:cs="仿宋_GB2312"/>
          <w:color w:val="000000" w:themeColor="text1"/>
          <w:sz w:val="32"/>
          <w:szCs w:val="32"/>
          <w:lang w:eastAsia="zh-CN"/>
          <w14:textFill>
            <w14:solidFill>
              <w14:schemeClr w14:val="tx1"/>
            </w14:solidFill>
          </w14:textFill>
        </w:rPr>
        <w:t>运</w:t>
      </w:r>
      <w:r>
        <w:rPr>
          <w:rFonts w:hint="eastAsia" w:ascii="Times New Roman" w:hAnsi="Times New Roman" w:eastAsia="仿宋_GB2312" w:cs="仿宋_GB2312"/>
          <w:color w:val="000000" w:themeColor="text1"/>
          <w:sz w:val="32"/>
          <w:szCs w:val="32"/>
          <w14:textFill>
            <w14:solidFill>
              <w14:schemeClr w14:val="tx1"/>
            </w14:solidFill>
          </w14:textFill>
        </w:rPr>
        <w:t>用7.3建立的</w:t>
      </w:r>
      <w:r>
        <w:rPr>
          <w:rFonts w:hint="eastAsia" w:ascii="Times New Roman" w:hAnsi="Times New Roman" w:eastAsia="仿宋_GB2312" w:cs="仿宋_GB2312"/>
          <w:color w:val="000000" w:themeColor="text1"/>
          <w:sz w:val="32"/>
          <w:szCs w:val="32"/>
          <w:lang w:eastAsia="zh-CN"/>
          <w14:textFill>
            <w14:solidFill>
              <w14:schemeClr w14:val="tx1"/>
            </w14:solidFill>
          </w14:textFill>
        </w:rPr>
        <w:t>定标模型</w:t>
      </w:r>
      <w:r>
        <w:rPr>
          <w:rFonts w:hint="eastAsia" w:ascii="Times New Roman" w:hAnsi="Times New Roman" w:eastAsia="仿宋_GB2312" w:cs="仿宋_GB2312"/>
          <w:color w:val="000000" w:themeColor="text1"/>
          <w:sz w:val="32"/>
          <w:szCs w:val="32"/>
          <w14:textFill>
            <w14:solidFill>
              <w14:schemeClr w14:val="tx1"/>
            </w14:solidFill>
          </w14:textFill>
        </w:rPr>
        <w:t>测定其</w:t>
      </w:r>
      <w:r>
        <w:rPr>
          <w:rFonts w:hint="eastAsia" w:ascii="Times New Roman" w:hAnsi="Times New Roman" w:eastAsia="仿宋_GB2312" w:cs="仿宋_GB2312"/>
          <w:color w:val="000000" w:themeColor="text1"/>
          <w:sz w:val="32"/>
          <w:szCs w:val="32"/>
          <w:lang w:eastAsia="zh-CN"/>
          <w14:textFill>
            <w14:solidFill>
              <w14:schemeClr w14:val="tx1"/>
            </w14:solidFill>
          </w14:textFill>
        </w:rPr>
        <w:t>直链淀粉</w:t>
      </w:r>
      <w:r>
        <w:rPr>
          <w:rFonts w:hint="eastAsia" w:ascii="Times New Roman" w:hAnsi="Times New Roman" w:eastAsia="仿宋_GB2312" w:cs="仿宋_GB2312"/>
          <w:color w:val="000000" w:themeColor="text1"/>
          <w:sz w:val="32"/>
          <w:szCs w:val="32"/>
          <w14:textFill>
            <w14:solidFill>
              <w14:schemeClr w14:val="tx1"/>
            </w14:solidFill>
          </w14:textFill>
        </w:rPr>
        <w:t>含量，记录测定数据。每个样品应测定两次，第一次测定后的样品应与原待测样品混匀后，再次取样进行第二次测定。</w:t>
      </w:r>
      <w:r>
        <w:rPr>
          <w:rFonts w:hint="eastAsia" w:ascii="Times New Roman" w:hAnsi="Times New Roman" w:eastAsia="仿宋_GB2312" w:cs="仿宋_GB2312"/>
          <w:color w:val="000000" w:themeColor="text1"/>
          <w:sz w:val="32"/>
          <w:szCs w:val="32"/>
          <w:lang w:eastAsia="zh-CN"/>
          <w14:textFill>
            <w14:solidFill>
              <w14:schemeClr w14:val="tx1"/>
            </w14:solidFill>
          </w14:textFill>
        </w:rPr>
        <w:t>”</w:t>
      </w:r>
    </w:p>
    <w:p w14:paraId="4F6281A7">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lang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测定结果应在近红外光谱分析仪器所使用的</w:t>
      </w:r>
      <w:r>
        <w:rPr>
          <w:rFonts w:hint="eastAsia" w:ascii="Times New Roman" w:hAnsi="Times New Roman" w:eastAsia="仿宋_GB2312" w:cs="仿宋_GB2312"/>
          <w:color w:val="000000" w:themeColor="text1"/>
          <w:sz w:val="32"/>
          <w:szCs w:val="32"/>
          <w:lang w:eastAsia="zh-CN"/>
          <w14:textFill>
            <w14:solidFill>
              <w14:schemeClr w14:val="tx1"/>
            </w14:solidFill>
          </w14:textFill>
        </w:rPr>
        <w:t>定标模型</w:t>
      </w:r>
      <w:r>
        <w:rPr>
          <w:rFonts w:hint="eastAsia" w:ascii="Times New Roman" w:hAnsi="Times New Roman" w:eastAsia="仿宋_GB2312" w:cs="仿宋_GB2312"/>
          <w:color w:val="000000" w:themeColor="text1"/>
          <w:sz w:val="32"/>
          <w:szCs w:val="32"/>
          <w14:textFill>
            <w14:solidFill>
              <w14:schemeClr w14:val="tx1"/>
            </w14:solidFill>
          </w14:textFill>
        </w:rPr>
        <w:t>所覆盖的</w:t>
      </w:r>
      <w:r>
        <w:rPr>
          <w:rFonts w:hint="eastAsia" w:ascii="Times New Roman" w:hAnsi="Times New Roman" w:eastAsia="仿宋_GB2312" w:cs="仿宋_GB2312"/>
          <w:color w:val="000000" w:themeColor="text1"/>
          <w:sz w:val="32"/>
          <w:szCs w:val="32"/>
          <w:lang w:eastAsia="zh-CN"/>
          <w14:textFill>
            <w14:solidFill>
              <w14:schemeClr w14:val="tx1"/>
            </w14:solidFill>
          </w14:textFill>
        </w:rPr>
        <w:t>直链淀粉</w:t>
      </w:r>
      <w:r>
        <w:rPr>
          <w:rFonts w:hint="eastAsia" w:ascii="Times New Roman" w:hAnsi="Times New Roman" w:eastAsia="仿宋_GB2312" w:cs="仿宋_GB2312"/>
          <w:color w:val="000000" w:themeColor="text1"/>
          <w:sz w:val="32"/>
          <w:szCs w:val="32"/>
          <w14:textFill>
            <w14:solidFill>
              <w14:schemeClr w14:val="tx1"/>
            </w14:solidFill>
          </w14:textFill>
        </w:rPr>
        <w:t>含量范围内。两次测定结果</w:t>
      </w:r>
      <w:r>
        <w:rPr>
          <w:rFonts w:hint="eastAsia" w:ascii="Times New Roman" w:hAnsi="Times New Roman" w:eastAsia="仿宋_GB2312" w:cs="仿宋_GB2312"/>
          <w:color w:val="000000" w:themeColor="text1"/>
          <w:sz w:val="32"/>
          <w:szCs w:val="32"/>
          <w:lang w:eastAsia="zh-CN"/>
          <w14:textFill>
            <w14:solidFill>
              <w14:schemeClr w14:val="tx1"/>
            </w14:solidFill>
          </w14:textFill>
        </w:rPr>
        <w:t>符合</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10.2要求的</w:t>
      </w:r>
      <w:r>
        <w:rPr>
          <w:rFonts w:hint="eastAsia" w:ascii="Times New Roman" w:hAnsi="Times New Roman" w:eastAsia="仿宋_GB2312" w:cs="仿宋_GB2312"/>
          <w:color w:val="000000" w:themeColor="text1"/>
          <w:sz w:val="32"/>
          <w:szCs w:val="32"/>
          <w14:textFill>
            <w14:solidFill>
              <w14:schemeClr w14:val="tx1"/>
            </w14:solidFill>
          </w14:textFill>
        </w:rPr>
        <w:t>，取两次数据的平均值为测定结果，测定结果保留</w:t>
      </w:r>
      <w:r>
        <w:rPr>
          <w:rFonts w:hint="eastAsia" w:ascii="Times New Roman" w:hAnsi="Times New Roman" w:eastAsia="仿宋_GB2312" w:cs="仿宋_GB2312"/>
          <w:color w:val="000000" w:themeColor="text1"/>
          <w:sz w:val="32"/>
          <w:szCs w:val="32"/>
          <w:lang w:eastAsia="zh-CN"/>
          <w14:textFill>
            <w14:solidFill>
              <w14:schemeClr w14:val="tx1"/>
            </w14:solidFill>
          </w14:textFill>
        </w:rPr>
        <w:t>至小数点后一位</w:t>
      </w:r>
      <w:r>
        <w:rPr>
          <w:rFonts w:hint="eastAsia" w:ascii="Times New Roman" w:hAnsi="Times New Roman" w:eastAsia="仿宋_GB2312" w:cs="仿宋_GB2312"/>
          <w:color w:val="000000" w:themeColor="text1"/>
          <w:sz w:val="32"/>
          <w:szCs w:val="32"/>
          <w14:textFill>
            <w14:solidFill>
              <w14:schemeClr w14:val="tx1"/>
            </w14:solidFill>
          </w14:textFill>
        </w:rPr>
        <w:t>。如果两次测定结果</w:t>
      </w:r>
      <w:r>
        <w:rPr>
          <w:rFonts w:hint="eastAsia" w:ascii="Times New Roman" w:hAnsi="Times New Roman" w:eastAsia="仿宋_GB2312" w:cs="仿宋_GB2312"/>
          <w:color w:val="000000" w:themeColor="text1"/>
          <w:sz w:val="32"/>
          <w:szCs w:val="32"/>
          <w:lang w:eastAsia="zh-CN"/>
          <w14:textFill>
            <w14:solidFill>
              <w14:schemeClr w14:val="tx1"/>
            </w14:solidFill>
          </w14:textFill>
        </w:rPr>
        <w:t>不符合</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10.2要求的</w:t>
      </w:r>
      <w:r>
        <w:rPr>
          <w:rFonts w:hint="eastAsia" w:ascii="Times New Roman" w:hAnsi="Times New Roman" w:eastAsia="仿宋_GB2312" w:cs="仿宋_GB2312"/>
          <w:color w:val="000000" w:themeColor="text1"/>
          <w:sz w:val="32"/>
          <w:szCs w:val="32"/>
          <w14:textFill>
            <w14:solidFill>
              <w14:schemeClr w14:val="tx1"/>
            </w14:solidFill>
          </w14:textFill>
        </w:rPr>
        <w:t>，则必须再进行一次测试，获得三个测试结果，其中若有任何两次测试结果</w:t>
      </w:r>
      <w:r>
        <w:rPr>
          <w:rFonts w:hint="eastAsia" w:ascii="Times New Roman" w:hAnsi="Times New Roman" w:eastAsia="仿宋_GB2312" w:cs="仿宋_GB2312"/>
          <w:color w:val="000000" w:themeColor="text1"/>
          <w:sz w:val="32"/>
          <w:szCs w:val="32"/>
          <w:lang w:eastAsia="zh-CN"/>
          <w14:textFill>
            <w14:solidFill>
              <w14:schemeClr w14:val="tx1"/>
            </w14:solidFill>
          </w14:textFill>
        </w:rPr>
        <w:t>符合</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10.2要求</w:t>
      </w:r>
      <w:r>
        <w:rPr>
          <w:rFonts w:hint="eastAsia" w:ascii="Times New Roman" w:hAnsi="Times New Roman" w:eastAsia="仿宋_GB2312" w:cs="仿宋_GB2312"/>
          <w:color w:val="000000" w:themeColor="text1"/>
          <w:sz w:val="32"/>
          <w:szCs w:val="32"/>
          <w14:textFill>
            <w14:solidFill>
              <w14:schemeClr w14:val="tx1"/>
            </w14:solidFill>
          </w14:textFill>
        </w:rPr>
        <w:t>的，取其平均值为测定结果，否则记录为异常样品。异常样品的确认和处理按第9章要求执行。</w:t>
      </w:r>
      <w:r>
        <w:rPr>
          <w:rFonts w:hint="eastAsia" w:ascii="Times New Roman" w:hAnsi="Times New Roman" w:eastAsia="仿宋_GB2312" w:cs="仿宋_GB2312"/>
          <w:color w:val="000000" w:themeColor="text1"/>
          <w:sz w:val="32"/>
          <w:szCs w:val="32"/>
          <w:lang w:eastAsia="zh-CN"/>
          <w14:textFill>
            <w14:solidFill>
              <w14:schemeClr w14:val="tx1"/>
            </w14:solidFill>
          </w14:textFill>
        </w:rPr>
        <w:t>”</w:t>
      </w:r>
    </w:p>
    <w:p w14:paraId="770ACBF8">
      <w:pPr>
        <w:keepNext w:val="0"/>
        <w:keepLines w:val="0"/>
        <w:pageBreakBefore w:val="0"/>
        <w:widowControl w:val="0"/>
        <w:kinsoku/>
        <w:wordWrap/>
        <w:overflowPunct/>
        <w:topLinePunct w:val="0"/>
        <w:bidi w:val="0"/>
        <w:adjustRightInd/>
        <w:snapToGrid/>
        <w:spacing w:line="600" w:lineRule="exact"/>
        <w:ind w:firstLine="643" w:firstLineChars="200"/>
        <w:rPr>
          <w:rFonts w:ascii="Times New Roman" w:hAnsi="Times New Roman" w:eastAsia="楷体_GB2312" w:cs="楷体_GB2312"/>
          <w:b/>
          <w:bCs/>
          <w:color w:val="000000" w:themeColor="text1"/>
          <w:sz w:val="32"/>
          <w:szCs w:val="32"/>
          <w14:textFill>
            <w14:solidFill>
              <w14:schemeClr w14:val="tx1"/>
            </w14:solidFill>
          </w14:textFill>
        </w:rPr>
      </w:pPr>
      <w:r>
        <w:rPr>
          <w:rFonts w:hint="eastAsia" w:ascii="Times New Roman" w:hAnsi="Times New Roman" w:eastAsia="楷体_GB2312" w:cs="楷体_GB2312"/>
          <w:b/>
          <w:bCs/>
          <w:color w:val="000000" w:themeColor="text1"/>
          <w:sz w:val="32"/>
          <w:szCs w:val="32"/>
          <w14:textFill>
            <w14:solidFill>
              <w14:schemeClr w14:val="tx1"/>
            </w14:solidFill>
          </w14:textFill>
        </w:rPr>
        <w:t>（八）异常测量结果的确认和处理</w:t>
      </w:r>
    </w:p>
    <w:p w14:paraId="45BA6A97">
      <w:pPr>
        <w:keepNext w:val="0"/>
        <w:keepLines w:val="0"/>
        <w:pageBreakBefore w:val="0"/>
        <w:widowControl w:val="0"/>
        <w:kinsoku/>
        <w:wordWrap/>
        <w:overflowPunct/>
        <w:topLinePunct w:val="0"/>
        <w:bidi w:val="0"/>
        <w:adjustRightInd/>
        <w:snapToGrid/>
        <w:spacing w:line="600" w:lineRule="exact"/>
        <w:ind w:firstLine="640" w:firstLineChars="200"/>
        <w:rPr>
          <w:rFonts w:ascii="Times New Roman" w:hAnsi="Times New Roman" w:eastAsia="仿宋_GB2312" w:cs="仿宋_GB2312"/>
          <w:color w:val="000000" w:themeColor="text1"/>
          <w:sz w:val="32"/>
          <w:szCs w:val="32"/>
          <w:lang w:bidi="ar"/>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参照</w:t>
      </w:r>
      <w:r>
        <w:rPr>
          <w:rFonts w:hint="eastAsia" w:ascii="Times New Roman" w:hAnsi="Times New Roman" w:eastAsia="楷体_GB2312"/>
          <w:color w:val="000000" w:themeColor="text1"/>
          <w:sz w:val="32"/>
          <w:szCs w:val="32"/>
          <w:lang w:bidi="ar"/>
          <w14:textFill>
            <w14:solidFill>
              <w14:schemeClr w14:val="tx1"/>
            </w14:solidFill>
          </w14:textFill>
        </w:rPr>
        <w:t>GB/T 41366-2022</w:t>
      </w:r>
      <w:r>
        <w:rPr>
          <w:rFonts w:hint="eastAsia" w:ascii="Times New Roman" w:hAnsi="Times New Roman" w:eastAsia="仿宋_GB2312" w:cs="仿宋_GB2312"/>
          <w:color w:val="000000" w:themeColor="text1"/>
          <w:sz w:val="32"/>
          <w:szCs w:val="32"/>
          <w14:textFill>
            <w14:solidFill>
              <w14:schemeClr w14:val="tx1"/>
            </w14:solidFill>
          </w14:textFill>
        </w:rPr>
        <w:t>《</w:t>
      </w:r>
      <w:r>
        <w:rPr>
          <w:rFonts w:ascii="Times New Roman" w:hAnsi="Times New Roman" w:eastAsia="仿宋_GB2312" w:cs="仿宋_GB2312"/>
          <w:color w:val="000000" w:themeColor="text1"/>
          <w:sz w:val="32"/>
          <w:szCs w:val="32"/>
          <w14:textFill>
            <w14:solidFill>
              <w14:schemeClr w14:val="tx1"/>
            </w14:solidFill>
          </w14:textFill>
        </w:rPr>
        <w:t>畜禽肉品质检测 水分、蛋白质、脂肪含量的测定 近红外法》</w:t>
      </w:r>
      <w:r>
        <w:rPr>
          <w:rFonts w:hint="eastAsia" w:ascii="Times New Roman" w:hAnsi="Times New Roman" w:eastAsia="仿宋_GB2312" w:cs="仿宋_GB2312"/>
          <w:color w:val="000000" w:themeColor="text1"/>
          <w:sz w:val="32"/>
          <w:szCs w:val="32"/>
          <w:lang w:eastAsia="zh-CN"/>
          <w14:textFill>
            <w14:solidFill>
              <w14:schemeClr w14:val="tx1"/>
            </w14:solidFill>
          </w14:textFill>
        </w:rPr>
        <w:t>、</w:t>
      </w:r>
      <w:r>
        <w:rPr>
          <w:rFonts w:hint="eastAsia" w:ascii="Times New Roman" w:hAnsi="Times New Roman" w:eastAsia="楷体_GB2312"/>
          <w:color w:val="000000" w:themeColor="text1"/>
          <w:sz w:val="32"/>
          <w:szCs w:val="32"/>
          <w:lang w:bidi="ar"/>
          <w14:textFill>
            <w14:solidFill>
              <w14:schemeClr w14:val="tx1"/>
            </w14:solidFill>
          </w14:textFill>
        </w:rPr>
        <w:t>DB21/T 2048-2012</w:t>
      </w:r>
      <w:r>
        <w:rPr>
          <w:rFonts w:ascii="Times New Roman" w:hAnsi="Times New Roman" w:eastAsia="仿宋_GB2312" w:cs="仿宋_GB2312"/>
          <w:color w:val="000000" w:themeColor="text1"/>
          <w:sz w:val="32"/>
          <w:szCs w:val="32"/>
          <w14:textFill>
            <w14:solidFill>
              <w14:schemeClr w14:val="tx1"/>
            </w14:solidFill>
          </w14:textFill>
        </w:rPr>
        <w:t>《</w:t>
      </w:r>
      <w:r>
        <w:rPr>
          <w:rFonts w:ascii="Times New Roman" w:hAnsi="Times New Roman" w:eastAsia="仿宋_GB2312" w:cs="仿宋_GB2312"/>
          <w:color w:val="000000" w:themeColor="text1"/>
          <w:sz w:val="32"/>
          <w:szCs w:val="32"/>
          <w:lang w:bidi="ar"/>
          <w14:textFill>
            <w14:solidFill>
              <w14:schemeClr w14:val="tx1"/>
            </w14:solidFill>
          </w14:textFill>
        </w:rPr>
        <w:t>饲料中粗蛋白、粗脂肪、粗纤维、水分、钙、总磷、粗灰分、水溶性氯化物、氨基酸的测定 近红外光谱法</w:t>
      </w:r>
      <w:r>
        <w:rPr>
          <w:rFonts w:hint="eastAsia" w:ascii="Times New Roman" w:hAnsi="Times New Roman"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lang w:eastAsia="zh-CN"/>
          <w14:textFill>
            <w14:solidFill>
              <w14:schemeClr w14:val="tx1"/>
            </w14:solidFill>
          </w14:textFill>
        </w:rPr>
        <w:t>、</w:t>
      </w:r>
      <w:r>
        <w:rPr>
          <w:rFonts w:hint="eastAsia" w:ascii="Times New Roman" w:hAnsi="Times New Roman" w:eastAsia="楷体_GB2312"/>
          <w:color w:val="000000" w:themeColor="text1"/>
          <w:sz w:val="32"/>
          <w:szCs w:val="32"/>
          <w:lang w:bidi="ar"/>
          <w14:textFill>
            <w14:solidFill>
              <w14:schemeClr w14:val="tx1"/>
            </w14:solidFill>
          </w14:textFill>
        </w:rPr>
        <w:t>DB36/T 1127-2019</w:t>
      </w:r>
      <w:r>
        <w:rPr>
          <w:rFonts w:hint="eastAsia" w:ascii="Times New Roman" w:hAnsi="Times New Roman" w:eastAsia="仿宋_GB2312" w:cs="仿宋_GB2312"/>
          <w:color w:val="000000" w:themeColor="text1"/>
          <w:sz w:val="32"/>
          <w:szCs w:val="32"/>
          <w:lang w:bidi="ar"/>
          <w14:textFill>
            <w14:solidFill>
              <w14:schemeClr w14:val="tx1"/>
            </w14:solidFill>
          </w14:textFill>
        </w:rPr>
        <w:t>《</w:t>
      </w:r>
      <w:r>
        <w:rPr>
          <w:rFonts w:ascii="Times New Roman" w:hAnsi="Times New Roman" w:eastAsia="仿宋_GB2312" w:cs="仿宋_GB2312"/>
          <w:color w:val="000000" w:themeColor="text1"/>
          <w:sz w:val="32"/>
          <w:szCs w:val="32"/>
          <w:lang w:bidi="ar"/>
          <w14:textFill>
            <w14:solidFill>
              <w14:schemeClr w14:val="tx1"/>
            </w14:solidFill>
          </w14:textFill>
        </w:rPr>
        <w:t>饲料中粗灰分、钙、总磷和</w:t>
      </w:r>
      <w:r>
        <w:rPr>
          <w:rFonts w:hint="eastAsia" w:ascii="Times New Roman" w:hAnsi="Times New Roman" w:eastAsia="仿宋_GB2312" w:cs="仿宋_GB2312"/>
          <w:color w:val="000000" w:themeColor="text1"/>
          <w:sz w:val="32"/>
          <w:szCs w:val="32"/>
          <w:lang w:eastAsia="zh-CN" w:bidi="ar"/>
          <w14:textFill>
            <w14:solidFill>
              <w14:schemeClr w14:val="tx1"/>
            </w14:solidFill>
          </w14:textFill>
        </w:rPr>
        <w:t>直链淀粉</w:t>
      </w:r>
      <w:r>
        <w:rPr>
          <w:rFonts w:ascii="Times New Roman" w:hAnsi="Times New Roman" w:eastAsia="仿宋_GB2312" w:cs="仿宋_GB2312"/>
          <w:color w:val="000000" w:themeColor="text1"/>
          <w:sz w:val="32"/>
          <w:szCs w:val="32"/>
          <w:lang w:bidi="ar"/>
          <w14:textFill>
            <w14:solidFill>
              <w14:schemeClr w14:val="tx1"/>
            </w14:solidFill>
          </w14:textFill>
        </w:rPr>
        <w:t>快速测定 近红外光谱法》等标准中异常测量结果的确认和处理规定。</w:t>
      </w:r>
    </w:p>
    <w:p w14:paraId="72A9FCB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Times New Roman" w:hAnsi="Times New Roman" w:eastAsia="楷体_GB2312" w:cs="楷体_GB2312"/>
          <w:b/>
          <w:bCs/>
          <w:color w:val="000000" w:themeColor="text1"/>
          <w:sz w:val="32"/>
          <w:szCs w:val="32"/>
          <w14:textFill>
            <w14:solidFill>
              <w14:schemeClr w14:val="tx1"/>
            </w14:solidFill>
          </w14:textFill>
        </w:rPr>
      </w:pPr>
      <w:r>
        <w:rPr>
          <w:rFonts w:hint="eastAsia" w:ascii="Times New Roman" w:hAnsi="Times New Roman" w:eastAsia="楷体_GB2312" w:cs="楷体_GB2312"/>
          <w:b/>
          <w:bCs/>
          <w:color w:val="000000" w:themeColor="text1"/>
          <w:sz w:val="32"/>
          <w:szCs w:val="32"/>
          <w:lang w:eastAsia="zh-CN"/>
          <w14:textFill>
            <w14:solidFill>
              <w14:schemeClr w14:val="tx1"/>
            </w14:solidFill>
          </w14:textFill>
        </w:rPr>
        <w:t>（九）</w:t>
      </w:r>
      <w:r>
        <w:rPr>
          <w:rFonts w:hint="eastAsia" w:ascii="Times New Roman" w:hAnsi="Times New Roman" w:eastAsia="楷体_GB2312" w:cs="楷体_GB2312"/>
          <w:b/>
          <w:bCs/>
          <w:color w:val="000000" w:themeColor="text1"/>
          <w:sz w:val="32"/>
          <w:szCs w:val="32"/>
          <w14:textFill>
            <w14:solidFill>
              <w14:schemeClr w14:val="tx1"/>
            </w14:solidFill>
          </w14:textFill>
        </w:rPr>
        <w:t>准确性和精密度</w:t>
      </w:r>
    </w:p>
    <w:p w14:paraId="40477A9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参照</w:t>
      </w:r>
      <w:r>
        <w:rPr>
          <w:rFonts w:hint="eastAsia" w:ascii="Times New Roman" w:hAnsi="Times New Roman" w:eastAsia="楷体_GB2312"/>
          <w:color w:val="000000" w:themeColor="text1"/>
          <w:sz w:val="32"/>
          <w:szCs w:val="32"/>
          <w:lang w:bidi="ar"/>
          <w14:textFill>
            <w14:solidFill>
              <w14:schemeClr w14:val="tx1"/>
            </w14:solidFill>
          </w14:textFill>
        </w:rPr>
        <w:t>GB</w:t>
      </w:r>
      <w:r>
        <w:rPr>
          <w:rFonts w:hint="eastAsia" w:ascii="Times New Roman" w:hAnsi="Times New Roman" w:eastAsia="楷体_GB2312"/>
          <w:color w:val="000000" w:themeColor="text1"/>
          <w:sz w:val="32"/>
          <w:szCs w:val="32"/>
          <w:lang w:val="en-US" w:eastAsia="zh-CN" w:bidi="ar"/>
          <w14:textFill>
            <w14:solidFill>
              <w14:schemeClr w14:val="tx1"/>
            </w14:solidFill>
          </w14:textFill>
        </w:rPr>
        <w:t>/T</w:t>
      </w:r>
      <w:r>
        <w:rPr>
          <w:rFonts w:hint="eastAsia" w:ascii="Times New Roman" w:hAnsi="Times New Roman" w:eastAsia="楷体_GB2312"/>
          <w:color w:val="000000" w:themeColor="text1"/>
          <w:sz w:val="32"/>
          <w:szCs w:val="32"/>
          <w:lang w:bidi="ar"/>
          <w14:textFill>
            <w14:solidFill>
              <w14:schemeClr w14:val="tx1"/>
            </w14:solidFill>
          </w14:textFill>
        </w:rPr>
        <w:t xml:space="preserve"> </w:t>
      </w:r>
      <w:r>
        <w:rPr>
          <w:rFonts w:hint="eastAsia" w:ascii="Times New Roman" w:hAnsi="Times New Roman" w:eastAsia="楷体_GB2312"/>
          <w:color w:val="000000" w:themeColor="text1"/>
          <w:sz w:val="32"/>
          <w:szCs w:val="32"/>
          <w:lang w:val="en-US" w:eastAsia="zh-CN" w:bidi="ar"/>
          <w14:textFill>
            <w14:solidFill>
              <w14:schemeClr w14:val="tx1"/>
            </w14:solidFill>
          </w14:textFill>
        </w:rPr>
        <w:t>15683-2025</w:t>
      </w:r>
      <w:r>
        <w:rPr>
          <w:rFonts w:hint="eastAsia" w:ascii="Times New Roman" w:hAnsi="Times New Roman" w:eastAsia="仿宋_GB2312" w:cs="仿宋_GB2312"/>
          <w:color w:val="000000" w:themeColor="text1"/>
          <w:sz w:val="32"/>
          <w:szCs w:val="32"/>
          <w14:textFill>
            <w14:solidFill>
              <w14:schemeClr w14:val="tx1"/>
            </w14:solidFill>
          </w14:textFill>
        </w:rPr>
        <w:t>规定的重复性和再现性要求，同时依据</w:t>
      </w:r>
      <w:r>
        <w:rPr>
          <w:rFonts w:hint="eastAsia" w:ascii="Times New Roman" w:hAnsi="Times New Roman" w:eastAsia="仿宋_GB2312" w:cs="仿宋_GB2312"/>
          <w:color w:val="000000" w:themeColor="text1"/>
          <w:sz w:val="32"/>
          <w:szCs w:val="32"/>
          <w:lang w:eastAsia="zh-CN"/>
          <w14:textFill>
            <w14:solidFill>
              <w14:schemeClr w14:val="tx1"/>
            </w14:solidFill>
          </w14:textFill>
        </w:rPr>
        <w:t>实验</w:t>
      </w:r>
      <w:r>
        <w:rPr>
          <w:rFonts w:hint="eastAsia" w:ascii="Times New Roman" w:hAnsi="Times New Roman" w:eastAsia="仿宋_GB2312" w:cs="仿宋_GB2312"/>
          <w:color w:val="000000" w:themeColor="text1"/>
          <w:sz w:val="32"/>
          <w:szCs w:val="32"/>
          <w14:textFill>
            <w14:solidFill>
              <w14:schemeClr w14:val="tx1"/>
            </w14:solidFill>
          </w14:textFill>
        </w:rPr>
        <w:t>结果</w:t>
      </w:r>
      <w:r>
        <w:rPr>
          <w:rFonts w:hint="eastAsia" w:ascii="Times New Roman" w:hAnsi="Times New Roman" w:eastAsia="仿宋_GB2312" w:cs="仿宋_GB2312"/>
          <w:color w:val="000000" w:themeColor="text1"/>
          <w:sz w:val="32"/>
          <w:szCs w:val="32"/>
          <w:lang w:eastAsia="zh-CN"/>
          <w14:textFill>
            <w14:solidFill>
              <w14:schemeClr w14:val="tx1"/>
            </w14:solidFill>
          </w14:textFill>
        </w:rPr>
        <w:t>（见第六部分主要试验情况）</w:t>
      </w:r>
      <w:r>
        <w:rPr>
          <w:rFonts w:hint="eastAsia" w:ascii="Times New Roman" w:hAnsi="Times New Roman" w:eastAsia="仿宋_GB2312" w:cs="仿宋_GB2312"/>
          <w:color w:val="000000" w:themeColor="text1"/>
          <w:sz w:val="32"/>
          <w:szCs w:val="32"/>
          <w14:textFill>
            <w14:solidFill>
              <w14:schemeClr w14:val="tx1"/>
            </w14:solidFill>
          </w14:textFill>
        </w:rPr>
        <w:t>，要求如下：（1）准确性。外部验证样品的</w:t>
      </w:r>
      <w:r>
        <w:rPr>
          <w:rFonts w:hint="eastAsia" w:ascii="Times New Roman" w:hAnsi="Times New Roman" w:eastAsia="仿宋_GB2312" w:cs="仿宋_GB2312"/>
          <w:color w:val="000000" w:themeColor="text1"/>
          <w:sz w:val="32"/>
          <w:szCs w:val="32"/>
          <w:lang w:eastAsia="zh-CN"/>
          <w14:textFill>
            <w14:solidFill>
              <w14:schemeClr w14:val="tx1"/>
            </w14:solidFill>
          </w14:textFill>
        </w:rPr>
        <w:t>直链淀粉</w:t>
      </w:r>
      <w:r>
        <w:rPr>
          <w:rFonts w:hint="eastAsia" w:ascii="Times New Roman" w:hAnsi="Times New Roman" w:eastAsia="仿宋_GB2312" w:cs="仿宋_GB2312"/>
          <w:color w:val="000000" w:themeColor="text1"/>
          <w:sz w:val="32"/>
          <w:szCs w:val="32"/>
          <w14:textFill>
            <w14:solidFill>
              <w14:schemeClr w14:val="tx1"/>
            </w14:solidFill>
          </w14:textFill>
        </w:rPr>
        <w:t>含量扣除系统偏差之后的测定值与其标准理化方法分析值之间的标准差（</w:t>
      </w:r>
      <w:r>
        <w:rPr>
          <w:rFonts w:hint="eastAsia" w:ascii="Times New Roman" w:hAnsi="Times New Roman" w:eastAsia="仿宋_GB2312" w:cs="仿宋_GB2312"/>
          <w:i/>
          <w:iCs/>
          <w:color w:val="000000" w:themeColor="text1"/>
          <w:sz w:val="32"/>
          <w:szCs w:val="32"/>
          <w14:textFill>
            <w14:solidFill>
              <w14:schemeClr w14:val="tx1"/>
            </w14:solidFill>
          </w14:textFill>
        </w:rPr>
        <w:t>SEP</w:t>
      </w:r>
      <w:r>
        <w:rPr>
          <w:rFonts w:hint="eastAsia" w:ascii="Times New Roman" w:hAnsi="Times New Roman" w:eastAsia="仿宋_GB2312" w:cs="仿宋_GB2312"/>
          <w:color w:val="000000" w:themeColor="text1"/>
          <w:sz w:val="32"/>
          <w:szCs w:val="32"/>
          <w14:textFill>
            <w14:solidFill>
              <w14:schemeClr w14:val="tx1"/>
            </w14:solidFill>
          </w14:textFill>
        </w:rPr>
        <w:t>）应小于</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1.2</w:t>
      </w:r>
      <w:r>
        <w:rPr>
          <w:rFonts w:hint="eastAsia" w:ascii="Times New Roman" w:hAnsi="Times New Roman" w:eastAsia="仿宋_GB2312" w:cs="仿宋_GB2312"/>
          <w:color w:val="000000" w:themeColor="text1"/>
          <w:sz w:val="32"/>
          <w:szCs w:val="32"/>
          <w14:textFill>
            <w14:solidFill>
              <w14:schemeClr w14:val="tx1"/>
            </w14:solidFill>
          </w14:textFill>
        </w:rPr>
        <w:t>%。（2）重复性。在同一实验室，由同一操作者使用相同的仪器设备，按相同的测试方法，并在短时间内，通过重新分样和重新装样，对同一被测样品相互独立进行测试，两次独立测定的</w:t>
      </w:r>
      <w:r>
        <w:rPr>
          <w:rFonts w:hint="eastAsia" w:ascii="Times New Roman" w:hAnsi="Times New Roman" w:eastAsia="仿宋_GB2312" w:cs="仿宋_GB2312"/>
          <w:color w:val="000000" w:themeColor="text1"/>
          <w:sz w:val="32"/>
          <w:szCs w:val="32"/>
          <w:lang w:eastAsia="zh-CN"/>
          <w14:textFill>
            <w14:solidFill>
              <w14:schemeClr w14:val="tx1"/>
            </w14:solidFill>
          </w14:textFill>
        </w:rPr>
        <w:t>直链淀粉</w:t>
      </w:r>
      <w:r>
        <w:rPr>
          <w:rFonts w:hint="eastAsia" w:ascii="Times New Roman" w:hAnsi="Times New Roman" w:eastAsia="仿宋_GB2312" w:cs="仿宋_GB2312"/>
          <w:color w:val="000000" w:themeColor="text1"/>
          <w:sz w:val="32"/>
          <w:szCs w:val="32"/>
          <w14:textFill>
            <w14:solidFill>
              <w14:schemeClr w14:val="tx1"/>
            </w14:solidFill>
          </w14:textFill>
        </w:rPr>
        <w:t>含量结果的绝对差值不</w:t>
      </w:r>
      <w:r>
        <w:rPr>
          <w:rFonts w:hint="eastAsia" w:ascii="Times New Roman" w:hAnsi="Times New Roman" w:eastAsia="仿宋_GB2312" w:cs="仿宋_GB2312"/>
          <w:color w:val="000000" w:themeColor="text1"/>
          <w:sz w:val="32"/>
          <w:szCs w:val="32"/>
          <w:lang w:eastAsia="zh-CN"/>
          <w14:textFill>
            <w14:solidFill>
              <w14:schemeClr w14:val="tx1"/>
            </w14:solidFill>
          </w14:textFill>
        </w:rPr>
        <w:t>应超过</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1.2%</w:t>
      </w:r>
      <w:r>
        <w:rPr>
          <w:rFonts w:hint="eastAsia" w:ascii="Times New Roman" w:hAnsi="Times New Roman" w:eastAsia="仿宋_GB2312" w:cs="仿宋_GB2312"/>
          <w:color w:val="000000" w:themeColor="text1"/>
          <w:sz w:val="32"/>
          <w:szCs w:val="32"/>
          <w14:textFill>
            <w14:solidFill>
              <w14:schemeClr w14:val="tx1"/>
            </w14:solidFill>
          </w14:textFill>
        </w:rPr>
        <w:t>。（3）再现性。在不同实验室，由不同操作人员使用同一型号不同设备，按相同的测试方法，对相同的</w:t>
      </w:r>
      <w:r>
        <w:rPr>
          <w:rFonts w:hint="eastAsia" w:ascii="Times New Roman" w:hAnsi="Times New Roman" w:eastAsia="仿宋_GB2312" w:cs="仿宋_GB2312"/>
          <w:color w:val="000000" w:themeColor="text1"/>
          <w:sz w:val="32"/>
          <w:szCs w:val="32"/>
          <w:lang w:eastAsia="zh-CN"/>
          <w14:textFill>
            <w14:solidFill>
              <w14:schemeClr w14:val="tx1"/>
            </w14:solidFill>
          </w14:textFill>
        </w:rPr>
        <w:t>大米</w:t>
      </w:r>
      <w:r>
        <w:rPr>
          <w:rFonts w:hint="eastAsia" w:ascii="Times New Roman" w:hAnsi="Times New Roman" w:eastAsia="仿宋_GB2312" w:cs="仿宋_GB2312"/>
          <w:color w:val="000000" w:themeColor="text1"/>
          <w:sz w:val="32"/>
          <w:szCs w:val="32"/>
          <w14:textFill>
            <w14:solidFill>
              <w14:schemeClr w14:val="tx1"/>
            </w14:solidFill>
          </w14:textFill>
        </w:rPr>
        <w:t>样品进行测试，两次独立测定的</w:t>
      </w:r>
      <w:r>
        <w:rPr>
          <w:rFonts w:hint="eastAsia" w:ascii="Times New Roman" w:hAnsi="Times New Roman" w:eastAsia="仿宋_GB2312" w:cs="仿宋_GB2312"/>
          <w:color w:val="000000" w:themeColor="text1"/>
          <w:sz w:val="32"/>
          <w:szCs w:val="32"/>
          <w:lang w:eastAsia="zh-CN"/>
          <w14:textFill>
            <w14:solidFill>
              <w14:schemeClr w14:val="tx1"/>
            </w14:solidFill>
          </w14:textFill>
        </w:rPr>
        <w:t>直链淀粉</w:t>
      </w:r>
      <w:r>
        <w:rPr>
          <w:rFonts w:hint="eastAsia" w:ascii="Times New Roman" w:hAnsi="Times New Roman" w:eastAsia="仿宋_GB2312" w:cs="仿宋_GB2312"/>
          <w:color w:val="000000" w:themeColor="text1"/>
          <w:sz w:val="32"/>
          <w:szCs w:val="32"/>
          <w14:textFill>
            <w14:solidFill>
              <w14:schemeClr w14:val="tx1"/>
            </w14:solidFill>
          </w14:textFill>
        </w:rPr>
        <w:t>含量结果的绝对差值不</w:t>
      </w:r>
      <w:r>
        <w:rPr>
          <w:rFonts w:hint="eastAsia" w:ascii="Times New Roman" w:hAnsi="Times New Roman" w:eastAsia="仿宋_GB2312" w:cs="仿宋_GB2312"/>
          <w:color w:val="000000" w:themeColor="text1"/>
          <w:sz w:val="32"/>
          <w:szCs w:val="32"/>
          <w:lang w:eastAsia="zh-CN"/>
          <w14:textFill>
            <w14:solidFill>
              <w14:schemeClr w14:val="tx1"/>
            </w14:solidFill>
          </w14:textFill>
        </w:rPr>
        <w:t>应超过</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3.8%</w:t>
      </w:r>
      <w:r>
        <w:rPr>
          <w:rFonts w:hint="eastAsia" w:ascii="Times New Roman" w:hAnsi="Times New Roman" w:eastAsia="仿宋_GB2312" w:cs="仿宋_GB2312"/>
          <w:color w:val="000000" w:themeColor="text1"/>
          <w:sz w:val="32"/>
          <w:szCs w:val="32"/>
          <w14:textFill>
            <w14:solidFill>
              <w14:schemeClr w14:val="tx1"/>
            </w14:solidFill>
          </w14:textFill>
        </w:rPr>
        <w:t>。</w:t>
      </w:r>
    </w:p>
    <w:p w14:paraId="4E86EE63">
      <w:pPr>
        <w:keepNext w:val="0"/>
        <w:keepLines w:val="0"/>
        <w:pageBreakBefore w:val="0"/>
        <w:widowControl w:val="0"/>
        <w:kinsoku/>
        <w:wordWrap/>
        <w:overflowPunct/>
        <w:topLinePunct w:val="0"/>
        <w:bidi w:val="0"/>
        <w:adjustRightInd/>
        <w:snapToGrid/>
        <w:spacing w:line="600" w:lineRule="exact"/>
        <w:ind w:firstLine="643" w:firstLineChars="200"/>
        <w:jc w:val="left"/>
        <w:rPr>
          <w:rFonts w:ascii="Times New Roman" w:hAnsi="Times New Roman" w:eastAsia="黑体" w:cs="黑体"/>
          <w:b/>
          <w:bCs/>
          <w:color w:val="000000" w:themeColor="text1"/>
          <w:sz w:val="32"/>
          <w:szCs w:val="32"/>
          <w14:textFill>
            <w14:solidFill>
              <w14:schemeClr w14:val="tx1"/>
            </w14:solidFill>
          </w14:textFill>
        </w:rPr>
      </w:pPr>
      <w:r>
        <w:rPr>
          <w:rFonts w:hint="eastAsia" w:ascii="Times New Roman" w:hAnsi="Times New Roman" w:eastAsia="黑体" w:cs="黑体"/>
          <w:b/>
          <w:bCs/>
          <w:color w:val="000000" w:themeColor="text1"/>
          <w:sz w:val="32"/>
          <w:szCs w:val="32"/>
          <w:lang w:bidi="ar"/>
          <w14:textFill>
            <w14:solidFill>
              <w14:schemeClr w14:val="tx1"/>
            </w14:solidFill>
          </w14:textFill>
        </w:rPr>
        <w:t>六、</w:t>
      </w:r>
      <w:r>
        <w:rPr>
          <w:rFonts w:hint="eastAsia" w:ascii="Times New Roman" w:hAnsi="Times New Roman" w:eastAsia="黑体" w:cs="黑体"/>
          <w:b/>
          <w:bCs/>
          <w:color w:val="000000" w:themeColor="text1"/>
          <w:sz w:val="32"/>
          <w:szCs w:val="32"/>
          <w14:textFill>
            <w14:solidFill>
              <w14:schemeClr w14:val="tx1"/>
            </w14:solidFill>
          </w14:textFill>
        </w:rPr>
        <w:t>主要试验（或验证）情况</w:t>
      </w:r>
    </w:p>
    <w:p w14:paraId="38A390A2">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eastAsia="zh-CN"/>
          <w14:textFill>
            <w14:solidFill>
              <w14:schemeClr w14:val="tx1"/>
            </w14:solidFill>
          </w14:textFill>
        </w:rPr>
      </w:pPr>
      <w:r>
        <w:rPr>
          <w:rFonts w:hint="eastAsia" w:ascii="Times New Roman" w:hAnsi="Times New Roman" w:eastAsia="仿宋_GB2312" w:cs="仿宋_GB2312"/>
          <w:color w:val="000000" w:themeColor="text1"/>
          <w:sz w:val="32"/>
          <w:szCs w:val="32"/>
          <w:lang w:eastAsia="zh-CN"/>
          <w14:textFill>
            <w14:solidFill>
              <w14:schemeClr w14:val="tx1"/>
            </w14:solidFill>
          </w14:textFill>
        </w:rPr>
        <w:t>（一）主要仪器</w:t>
      </w:r>
    </w:p>
    <w:p w14:paraId="7615642A">
      <w:pPr>
        <w:keepNext w:val="0"/>
        <w:keepLines w:val="0"/>
        <w:pageBreakBefore w:val="0"/>
        <w:widowControl w:val="0"/>
        <w:kinsoku/>
        <w:overflowPunct/>
        <w:topLinePunct w:val="0"/>
        <w:autoSpaceDE/>
        <w:autoSpaceDN/>
        <w:bidi w:val="0"/>
        <w:adjustRightInd/>
        <w:spacing w:line="360" w:lineRule="auto"/>
        <w:ind w:firstLine="704" w:firstLineChars="220"/>
        <w:textAlignment w:val="auto"/>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1.进口近红外分析仪：某进口制造商生产的一款最常用型号,准确度高，性能可靠，在多个国家被标准认可用于谷物交易过程中的质量检测，符合GB/T 24895要求。采用扫描式光栅，连续光谱扫描，透射法检测。光源采用卤钨灯，波长范围：570-1100nm；波长重复性≤0.02nm；波长准确性≤0.05nm。</w:t>
      </w:r>
    </w:p>
    <w:p w14:paraId="008565E9">
      <w:pPr>
        <w:keepNext w:val="0"/>
        <w:keepLines w:val="0"/>
        <w:pageBreakBefore w:val="0"/>
        <w:widowControl w:val="0"/>
        <w:kinsoku/>
        <w:overflowPunct/>
        <w:topLinePunct w:val="0"/>
        <w:autoSpaceDE/>
        <w:autoSpaceDN/>
        <w:bidi w:val="0"/>
        <w:adjustRightInd/>
        <w:spacing w:line="360" w:lineRule="auto"/>
        <w:ind w:firstLine="704" w:firstLineChars="220"/>
        <w:textAlignment w:val="auto"/>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国产近红外分析仪：上海某公司生产的设备，适合于各种环境的长期使用。检测器为制冷阵列检测器InGaAs铟镓砷二极管阵列检测器。检测方式为漫反射采样，波长范围：900-1700nm；波长重复性≤0.5nm；波长准确性≤0.5nm。</w:t>
      </w:r>
    </w:p>
    <w:p w14:paraId="74BACCFA">
      <w:pPr>
        <w:keepNext w:val="0"/>
        <w:keepLines w:val="0"/>
        <w:pageBreakBefore w:val="0"/>
        <w:widowControl w:val="0"/>
        <w:kinsoku/>
        <w:overflowPunct/>
        <w:topLinePunct w:val="0"/>
        <w:autoSpaceDE/>
        <w:autoSpaceDN/>
        <w:bidi w:val="0"/>
        <w:adjustRightInd/>
        <w:spacing w:line="360" w:lineRule="auto"/>
        <w:ind w:firstLine="704" w:firstLineChars="220"/>
        <w:textAlignment w:val="auto"/>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（二）试验样品</w:t>
      </w:r>
    </w:p>
    <w:p w14:paraId="57C95320">
      <w:pPr>
        <w:keepNext w:val="0"/>
        <w:keepLines w:val="0"/>
        <w:pageBreakBefore w:val="0"/>
        <w:widowControl w:val="0"/>
        <w:kinsoku/>
        <w:overflowPunct/>
        <w:topLinePunct w:val="0"/>
        <w:autoSpaceDE/>
        <w:autoSpaceDN/>
        <w:bidi w:val="0"/>
        <w:adjustRightInd/>
        <w:spacing w:line="360" w:lineRule="auto"/>
        <w:ind w:firstLine="704" w:firstLineChars="220"/>
        <w:textAlignment w:val="auto"/>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选取一级大米样品共180个。根据直链淀粉含量对样品进行排序后，按3：1选取150个样品为校正集，30个样品为验证集。标准化学值分布情况见图1、表1。从图1、表1可知，校正集样品直链淀粉含量的化学值分布范围为2.9~27.5%，含量分布较广且大部分样品的直链淀粉含量在15.0%~27.0%之间，分布规律与实际情况较为相符，说明所选样品具有一定的差异和代表性，符合近红外光谱建模要求。验证集样品的直链淀粉含量覆盖校正集样品直链淀粉含量的95%，且分布均匀，符合要求。</w:t>
      </w:r>
    </w:p>
    <w:p w14:paraId="424CD1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楷体"/>
          <w:b w:val="0"/>
          <w:bCs/>
          <w:szCs w:val="21"/>
        </w:rPr>
      </w:pPr>
      <w:r>
        <w:rPr>
          <w:rFonts w:hint="eastAsia" w:ascii="Times New Roman" w:hAnsi="Times New Roman" w:eastAsia="楷体"/>
          <w:b w:val="0"/>
          <w:bCs/>
          <w:szCs w:val="21"/>
        </w:rPr>
        <w:t>表1</w:t>
      </w:r>
      <w:r>
        <w:rPr>
          <w:rFonts w:hint="eastAsia" w:ascii="Times New Roman" w:hAnsi="Times New Roman" w:eastAsia="楷体"/>
          <w:b w:val="0"/>
          <w:bCs/>
          <w:szCs w:val="21"/>
          <w:lang w:val="en-US" w:eastAsia="zh-CN"/>
        </w:rPr>
        <w:t xml:space="preserve"> </w:t>
      </w:r>
      <w:r>
        <w:rPr>
          <w:rFonts w:hint="eastAsia" w:ascii="Times New Roman" w:hAnsi="Times New Roman" w:eastAsia="楷体"/>
          <w:b w:val="0"/>
          <w:bCs/>
          <w:szCs w:val="21"/>
          <w:lang w:eastAsia="zh-CN"/>
        </w:rPr>
        <w:t>大米样品直链淀粉含量分布表</w:t>
      </w:r>
    </w:p>
    <w:tbl>
      <w:tblPr>
        <w:tblStyle w:val="9"/>
        <w:tblW w:w="4998" w:type="pct"/>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37"/>
        <w:gridCol w:w="1443"/>
        <w:gridCol w:w="1465"/>
        <w:gridCol w:w="1626"/>
        <w:gridCol w:w="1387"/>
        <w:gridCol w:w="1399"/>
      </w:tblGrid>
      <w:tr w14:paraId="7EA97846">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958" w:type="pct"/>
            <w:tcBorders>
              <w:bottom w:val="single" w:color="000000" w:sz="6" w:space="0"/>
              <w:right w:val="nil"/>
            </w:tcBorders>
            <w:noWrap w:val="0"/>
            <w:vAlign w:val="center"/>
          </w:tcPr>
          <w:p w14:paraId="531D68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Cs w:val="21"/>
                <w:lang w:eastAsia="zh-CN"/>
              </w:rPr>
            </w:pPr>
            <w:r>
              <w:rPr>
                <w:rFonts w:hint="eastAsia" w:ascii="Times New Roman" w:hAnsi="Times New Roman" w:eastAsia="楷体" w:cs="Times New Roman"/>
                <w:b w:val="0"/>
                <w:bCs/>
                <w:szCs w:val="21"/>
                <w:lang w:eastAsia="zh-CN"/>
              </w:rPr>
              <w:t>样品集</w:t>
            </w:r>
          </w:p>
        </w:tc>
        <w:tc>
          <w:tcPr>
            <w:tcW w:w="796" w:type="pct"/>
            <w:tcBorders>
              <w:left w:val="nil"/>
              <w:bottom w:val="single" w:color="000000" w:sz="6" w:space="0"/>
            </w:tcBorders>
            <w:noWrap w:val="0"/>
            <w:vAlign w:val="center"/>
          </w:tcPr>
          <w:p w14:paraId="3D3BFC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Cs w:val="21"/>
                <w:lang w:eastAsia="zh-CN"/>
              </w:rPr>
            </w:pPr>
            <w:r>
              <w:rPr>
                <w:rFonts w:hint="eastAsia" w:ascii="Times New Roman" w:hAnsi="Times New Roman" w:eastAsia="楷体" w:cs="Times New Roman"/>
                <w:b w:val="0"/>
                <w:bCs/>
                <w:szCs w:val="21"/>
                <w:lang w:eastAsia="zh-CN"/>
              </w:rPr>
              <w:t>样品数量</w:t>
            </w:r>
          </w:p>
        </w:tc>
        <w:tc>
          <w:tcPr>
            <w:tcW w:w="808" w:type="pct"/>
            <w:tcBorders>
              <w:bottom w:val="single" w:color="000000" w:sz="6" w:space="0"/>
            </w:tcBorders>
            <w:noWrap w:val="0"/>
            <w:vAlign w:val="center"/>
          </w:tcPr>
          <w:p w14:paraId="69BE49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Cs w:val="21"/>
                <w:lang w:val="en-US" w:eastAsia="zh-CN"/>
              </w:rPr>
            </w:pPr>
            <w:r>
              <w:rPr>
                <w:rFonts w:hint="eastAsia" w:ascii="Times New Roman" w:hAnsi="Times New Roman" w:eastAsia="楷体" w:cs="Times New Roman"/>
                <w:b w:val="0"/>
                <w:bCs/>
                <w:szCs w:val="21"/>
                <w:lang w:eastAsia="zh-CN"/>
              </w:rPr>
              <w:t>最大值</w:t>
            </w:r>
            <w:r>
              <w:rPr>
                <w:rFonts w:hint="eastAsia" w:ascii="Times New Roman" w:hAnsi="Times New Roman" w:eastAsia="楷体" w:cs="Times New Roman"/>
                <w:b w:val="0"/>
                <w:bCs/>
                <w:szCs w:val="21"/>
                <w:lang w:val="en-US" w:eastAsia="zh-CN"/>
              </w:rPr>
              <w:t>/%</w:t>
            </w:r>
          </w:p>
        </w:tc>
        <w:tc>
          <w:tcPr>
            <w:tcW w:w="897" w:type="pct"/>
            <w:tcBorders>
              <w:bottom w:val="single" w:color="000000" w:sz="6" w:space="0"/>
            </w:tcBorders>
            <w:noWrap w:val="0"/>
            <w:vAlign w:val="center"/>
          </w:tcPr>
          <w:p w14:paraId="348D5B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Cs w:val="21"/>
                <w:lang w:eastAsia="zh-CN"/>
              </w:rPr>
            </w:pPr>
            <w:r>
              <w:rPr>
                <w:rFonts w:hint="eastAsia" w:ascii="Times New Roman" w:hAnsi="Times New Roman" w:eastAsia="楷体" w:cs="Times New Roman"/>
                <w:b w:val="0"/>
                <w:bCs/>
                <w:szCs w:val="21"/>
                <w:lang w:eastAsia="zh-CN"/>
              </w:rPr>
              <w:t>最小值</w:t>
            </w:r>
            <w:r>
              <w:rPr>
                <w:rFonts w:hint="eastAsia" w:ascii="Times New Roman" w:hAnsi="Times New Roman" w:eastAsia="楷体" w:cs="Times New Roman"/>
                <w:b w:val="0"/>
                <w:bCs/>
                <w:szCs w:val="21"/>
                <w:lang w:val="en-US" w:eastAsia="zh-CN"/>
              </w:rPr>
              <w:t>/%</w:t>
            </w:r>
          </w:p>
        </w:tc>
        <w:tc>
          <w:tcPr>
            <w:tcW w:w="765" w:type="pct"/>
            <w:tcBorders>
              <w:bottom w:val="single" w:color="000000" w:sz="6" w:space="0"/>
            </w:tcBorders>
            <w:noWrap w:val="0"/>
            <w:vAlign w:val="center"/>
          </w:tcPr>
          <w:p w14:paraId="28DC50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Cs w:val="21"/>
                <w:lang w:eastAsia="zh-CN"/>
              </w:rPr>
            </w:pPr>
            <w:r>
              <w:rPr>
                <w:rFonts w:hint="eastAsia" w:ascii="Times New Roman" w:hAnsi="Times New Roman" w:eastAsia="楷体" w:cs="Times New Roman"/>
                <w:b w:val="0"/>
                <w:bCs/>
                <w:szCs w:val="21"/>
                <w:lang w:eastAsia="zh-CN"/>
              </w:rPr>
              <w:t>极差</w:t>
            </w:r>
            <w:r>
              <w:rPr>
                <w:rFonts w:hint="eastAsia" w:ascii="Times New Roman" w:hAnsi="Times New Roman" w:eastAsia="楷体" w:cs="Times New Roman"/>
                <w:b w:val="0"/>
                <w:bCs/>
                <w:szCs w:val="21"/>
                <w:lang w:val="en-US" w:eastAsia="zh-CN"/>
              </w:rPr>
              <w:t>/%</w:t>
            </w:r>
          </w:p>
        </w:tc>
        <w:tc>
          <w:tcPr>
            <w:tcW w:w="772" w:type="pct"/>
            <w:tcBorders>
              <w:bottom w:val="single" w:color="000000" w:sz="6" w:space="0"/>
            </w:tcBorders>
            <w:noWrap w:val="0"/>
            <w:vAlign w:val="center"/>
          </w:tcPr>
          <w:p w14:paraId="6691C9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Cs w:val="21"/>
                <w:lang w:eastAsia="zh-CN"/>
              </w:rPr>
            </w:pPr>
            <w:r>
              <w:rPr>
                <w:rFonts w:hint="eastAsia" w:ascii="Times New Roman" w:hAnsi="Times New Roman" w:eastAsia="楷体" w:cs="Times New Roman"/>
                <w:b w:val="0"/>
                <w:bCs/>
                <w:szCs w:val="21"/>
                <w:lang w:eastAsia="zh-CN"/>
              </w:rPr>
              <w:t>平均值</w:t>
            </w:r>
            <w:r>
              <w:rPr>
                <w:rFonts w:hint="eastAsia" w:ascii="Times New Roman" w:hAnsi="Times New Roman" w:eastAsia="楷体" w:cs="Times New Roman"/>
                <w:b w:val="0"/>
                <w:bCs/>
                <w:szCs w:val="21"/>
                <w:lang w:val="en-US" w:eastAsia="zh-CN"/>
              </w:rPr>
              <w:t>/%</w:t>
            </w:r>
          </w:p>
        </w:tc>
      </w:tr>
      <w:tr w14:paraId="312BB652">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958" w:type="pct"/>
            <w:tcBorders>
              <w:right w:val="nil"/>
            </w:tcBorders>
            <w:noWrap w:val="0"/>
            <w:vAlign w:val="center"/>
          </w:tcPr>
          <w:p w14:paraId="288314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Cs w:val="21"/>
                <w:lang w:eastAsia="zh-CN"/>
              </w:rPr>
            </w:pPr>
            <w:r>
              <w:rPr>
                <w:rFonts w:hint="eastAsia" w:ascii="Times New Roman" w:hAnsi="Times New Roman" w:eastAsia="楷体" w:cs="Times New Roman"/>
                <w:b w:val="0"/>
                <w:bCs/>
                <w:szCs w:val="21"/>
                <w:lang w:eastAsia="zh-CN"/>
              </w:rPr>
              <w:t>校正集</w:t>
            </w:r>
          </w:p>
        </w:tc>
        <w:tc>
          <w:tcPr>
            <w:tcW w:w="796" w:type="pct"/>
            <w:tcBorders>
              <w:left w:val="nil"/>
            </w:tcBorders>
            <w:noWrap w:val="0"/>
            <w:vAlign w:val="center"/>
          </w:tcPr>
          <w:p w14:paraId="61667E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szCs w:val="21"/>
                <w:lang w:val="en-US" w:eastAsia="zh-CN"/>
              </w:rPr>
            </w:pPr>
            <w:r>
              <w:rPr>
                <w:rFonts w:hint="eastAsia" w:ascii="Times New Roman" w:hAnsi="Times New Roman" w:eastAsia="楷体_GB2312" w:cs="楷体_GB2312"/>
                <w:color w:val="000000"/>
                <w:kern w:val="0"/>
                <w:szCs w:val="21"/>
                <w:lang w:val="en-US" w:eastAsia="zh-CN"/>
              </w:rPr>
              <w:t>150</w:t>
            </w:r>
          </w:p>
        </w:tc>
        <w:tc>
          <w:tcPr>
            <w:tcW w:w="808" w:type="pct"/>
            <w:noWrap w:val="0"/>
            <w:vAlign w:val="center"/>
          </w:tcPr>
          <w:p w14:paraId="10D6F5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楷体_GB2312"/>
                <w:szCs w:val="21"/>
                <w:lang w:val="en-US" w:eastAsia="zh-CN"/>
              </w:rPr>
            </w:pPr>
            <w:r>
              <w:rPr>
                <w:rFonts w:hint="eastAsia" w:ascii="Times New Roman" w:hAnsi="Times New Roman" w:eastAsia="楷体_GB2312" w:cs="楷体_GB2312"/>
                <w:kern w:val="0"/>
                <w:szCs w:val="21"/>
                <w:lang w:val="en-US" w:eastAsia="zh-CN"/>
              </w:rPr>
              <w:t>27.5</w:t>
            </w:r>
          </w:p>
        </w:tc>
        <w:tc>
          <w:tcPr>
            <w:tcW w:w="897" w:type="pct"/>
            <w:noWrap w:val="0"/>
            <w:vAlign w:val="center"/>
          </w:tcPr>
          <w:p w14:paraId="46A577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楷体_GB2312"/>
                <w:kern w:val="0"/>
                <w:szCs w:val="21"/>
                <w:lang w:val="en-US" w:eastAsia="zh-CN"/>
              </w:rPr>
            </w:pPr>
            <w:r>
              <w:rPr>
                <w:rFonts w:hint="eastAsia" w:ascii="Times New Roman" w:hAnsi="Times New Roman" w:eastAsia="楷体_GB2312" w:cs="楷体_GB2312"/>
                <w:kern w:val="0"/>
                <w:szCs w:val="21"/>
                <w:lang w:val="en-US" w:eastAsia="zh-CN"/>
              </w:rPr>
              <w:t>2.9</w:t>
            </w:r>
          </w:p>
        </w:tc>
        <w:tc>
          <w:tcPr>
            <w:tcW w:w="765" w:type="pct"/>
            <w:noWrap w:val="0"/>
            <w:vAlign w:val="center"/>
          </w:tcPr>
          <w:p w14:paraId="6D3C35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楷体_GB2312"/>
                <w:kern w:val="0"/>
                <w:szCs w:val="21"/>
                <w:lang w:val="en-US" w:eastAsia="zh-CN"/>
              </w:rPr>
            </w:pPr>
            <w:r>
              <w:rPr>
                <w:rFonts w:hint="eastAsia" w:ascii="Times New Roman" w:hAnsi="Times New Roman" w:eastAsia="楷体_GB2312" w:cs="楷体_GB2312"/>
                <w:kern w:val="0"/>
                <w:szCs w:val="21"/>
                <w:lang w:val="en-US" w:eastAsia="zh-CN"/>
              </w:rPr>
              <w:t>24.6</w:t>
            </w:r>
          </w:p>
        </w:tc>
        <w:tc>
          <w:tcPr>
            <w:tcW w:w="772" w:type="pct"/>
            <w:noWrap w:val="0"/>
            <w:vAlign w:val="center"/>
          </w:tcPr>
          <w:p w14:paraId="533F98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楷体_GB2312"/>
                <w:kern w:val="0"/>
                <w:szCs w:val="21"/>
                <w:lang w:val="en-US" w:eastAsia="zh-CN"/>
              </w:rPr>
            </w:pPr>
            <w:r>
              <w:rPr>
                <w:rFonts w:hint="eastAsia" w:ascii="Times New Roman" w:hAnsi="Times New Roman" w:eastAsia="楷体_GB2312" w:cs="楷体_GB2312"/>
                <w:kern w:val="0"/>
                <w:szCs w:val="21"/>
                <w:lang w:val="en-US" w:eastAsia="zh-CN"/>
              </w:rPr>
              <w:t>17.0</w:t>
            </w:r>
          </w:p>
        </w:tc>
      </w:tr>
      <w:tr w14:paraId="2DA262B8">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958" w:type="pct"/>
            <w:tcBorders>
              <w:right w:val="nil"/>
            </w:tcBorders>
            <w:noWrap w:val="0"/>
            <w:vAlign w:val="center"/>
          </w:tcPr>
          <w:p w14:paraId="080E3A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Cs w:val="21"/>
                <w:lang w:eastAsia="zh-CN"/>
              </w:rPr>
            </w:pPr>
            <w:r>
              <w:rPr>
                <w:rFonts w:hint="eastAsia" w:ascii="Times New Roman" w:hAnsi="Times New Roman" w:eastAsia="楷体" w:cs="Times New Roman"/>
                <w:b w:val="0"/>
                <w:bCs/>
                <w:szCs w:val="21"/>
                <w:lang w:eastAsia="zh-CN"/>
              </w:rPr>
              <w:t>验证集</w:t>
            </w:r>
          </w:p>
        </w:tc>
        <w:tc>
          <w:tcPr>
            <w:tcW w:w="796" w:type="pct"/>
            <w:tcBorders>
              <w:left w:val="nil"/>
            </w:tcBorders>
            <w:noWrap w:val="0"/>
            <w:vAlign w:val="center"/>
          </w:tcPr>
          <w:p w14:paraId="797F1F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color w:val="000000"/>
                <w:kern w:val="0"/>
                <w:szCs w:val="21"/>
                <w:lang w:val="en-US" w:eastAsia="zh-CN"/>
              </w:rPr>
            </w:pPr>
            <w:r>
              <w:rPr>
                <w:rFonts w:hint="eastAsia" w:ascii="Times New Roman" w:hAnsi="Times New Roman" w:eastAsia="楷体_GB2312" w:cs="楷体_GB2312"/>
                <w:color w:val="000000"/>
                <w:kern w:val="0"/>
                <w:szCs w:val="21"/>
                <w:lang w:val="en-US" w:eastAsia="zh-CN"/>
              </w:rPr>
              <w:t>30</w:t>
            </w:r>
          </w:p>
        </w:tc>
        <w:tc>
          <w:tcPr>
            <w:tcW w:w="808" w:type="pct"/>
            <w:noWrap w:val="0"/>
            <w:vAlign w:val="center"/>
          </w:tcPr>
          <w:p w14:paraId="43B44A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楷体_GB2312"/>
                <w:kern w:val="0"/>
                <w:szCs w:val="21"/>
                <w:lang w:val="en-US" w:eastAsia="zh-CN"/>
              </w:rPr>
            </w:pPr>
            <w:r>
              <w:rPr>
                <w:rFonts w:hint="eastAsia" w:ascii="Times New Roman" w:hAnsi="Times New Roman" w:eastAsia="楷体_GB2312" w:cs="楷体_GB2312"/>
                <w:kern w:val="0"/>
                <w:szCs w:val="21"/>
                <w:lang w:val="en-US" w:eastAsia="zh-CN"/>
              </w:rPr>
              <w:t>27.2</w:t>
            </w:r>
          </w:p>
        </w:tc>
        <w:tc>
          <w:tcPr>
            <w:tcW w:w="897" w:type="pct"/>
            <w:noWrap w:val="0"/>
            <w:vAlign w:val="center"/>
          </w:tcPr>
          <w:p w14:paraId="5354ED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楷体_GB2312"/>
                <w:kern w:val="0"/>
                <w:szCs w:val="21"/>
                <w:lang w:val="en-US" w:eastAsia="zh-CN"/>
              </w:rPr>
            </w:pPr>
            <w:r>
              <w:rPr>
                <w:rFonts w:hint="eastAsia" w:ascii="Times New Roman" w:hAnsi="Times New Roman" w:eastAsia="楷体_GB2312" w:cs="楷体_GB2312"/>
                <w:kern w:val="0"/>
                <w:szCs w:val="21"/>
                <w:lang w:val="en-US" w:eastAsia="zh-CN"/>
              </w:rPr>
              <w:t>3.1</w:t>
            </w:r>
          </w:p>
        </w:tc>
        <w:tc>
          <w:tcPr>
            <w:tcW w:w="765" w:type="pct"/>
            <w:noWrap w:val="0"/>
            <w:vAlign w:val="center"/>
          </w:tcPr>
          <w:p w14:paraId="384E87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kern w:val="0"/>
                <w:szCs w:val="21"/>
                <w:lang w:val="en-US" w:eastAsia="zh-CN"/>
              </w:rPr>
            </w:pPr>
            <w:r>
              <w:rPr>
                <w:rFonts w:hint="eastAsia" w:ascii="Times New Roman" w:hAnsi="Times New Roman" w:eastAsia="楷体_GB2312" w:cs="楷体_GB2312"/>
                <w:kern w:val="0"/>
                <w:szCs w:val="21"/>
                <w:lang w:val="en-US" w:eastAsia="zh-CN"/>
              </w:rPr>
              <w:t>1.23</w:t>
            </w:r>
          </w:p>
        </w:tc>
        <w:tc>
          <w:tcPr>
            <w:tcW w:w="772" w:type="pct"/>
            <w:noWrap w:val="0"/>
            <w:vAlign w:val="center"/>
          </w:tcPr>
          <w:p w14:paraId="4B5BE0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楷体_GB2312"/>
                <w:kern w:val="0"/>
                <w:szCs w:val="21"/>
                <w:lang w:val="en-US" w:eastAsia="zh-CN"/>
              </w:rPr>
            </w:pPr>
            <w:r>
              <w:rPr>
                <w:rFonts w:hint="eastAsia" w:ascii="Times New Roman" w:hAnsi="Times New Roman" w:eastAsia="楷体_GB2312" w:cs="楷体_GB2312"/>
                <w:kern w:val="0"/>
                <w:szCs w:val="21"/>
                <w:lang w:val="en-US" w:eastAsia="zh-CN"/>
              </w:rPr>
              <w:t>16.9</w:t>
            </w:r>
          </w:p>
        </w:tc>
      </w:tr>
      <w:tr w14:paraId="6983B143">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958" w:type="pct"/>
            <w:tcBorders>
              <w:right w:val="nil"/>
            </w:tcBorders>
            <w:noWrap w:val="0"/>
            <w:vAlign w:val="center"/>
          </w:tcPr>
          <w:p w14:paraId="4B6281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Cs w:val="21"/>
                <w:lang w:eastAsia="zh-CN"/>
              </w:rPr>
            </w:pPr>
            <w:r>
              <w:rPr>
                <w:rFonts w:hint="eastAsia" w:ascii="Times New Roman" w:hAnsi="Times New Roman" w:eastAsia="楷体" w:cs="Times New Roman"/>
                <w:b w:val="0"/>
                <w:bCs/>
                <w:szCs w:val="21"/>
                <w:lang w:eastAsia="zh-CN"/>
              </w:rPr>
              <w:t>总样品</w:t>
            </w:r>
          </w:p>
        </w:tc>
        <w:tc>
          <w:tcPr>
            <w:tcW w:w="796" w:type="pct"/>
            <w:tcBorders>
              <w:left w:val="nil"/>
            </w:tcBorders>
            <w:noWrap w:val="0"/>
            <w:vAlign w:val="center"/>
          </w:tcPr>
          <w:p w14:paraId="23B5C5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楷体_GB2312"/>
                <w:kern w:val="2"/>
                <w:sz w:val="21"/>
                <w:szCs w:val="21"/>
                <w:lang w:val="en-US" w:eastAsia="zh-CN" w:bidi="ar-SA"/>
              </w:rPr>
            </w:pPr>
            <w:r>
              <w:rPr>
                <w:rFonts w:hint="eastAsia" w:ascii="Times New Roman" w:hAnsi="Times New Roman" w:eastAsia="楷体_GB2312" w:cs="楷体_GB2312"/>
                <w:color w:val="000000"/>
                <w:kern w:val="0"/>
                <w:szCs w:val="21"/>
                <w:lang w:val="en-US" w:eastAsia="zh-CN"/>
              </w:rPr>
              <w:t>180</w:t>
            </w:r>
          </w:p>
        </w:tc>
        <w:tc>
          <w:tcPr>
            <w:tcW w:w="1465" w:type="dxa"/>
            <w:noWrap w:val="0"/>
            <w:vAlign w:val="center"/>
          </w:tcPr>
          <w:p w14:paraId="052CB9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kern w:val="2"/>
                <w:sz w:val="21"/>
                <w:szCs w:val="21"/>
                <w:lang w:val="en-US" w:eastAsia="zh-CN" w:bidi="ar-SA"/>
              </w:rPr>
            </w:pPr>
            <w:r>
              <w:rPr>
                <w:rFonts w:hint="eastAsia" w:ascii="Times New Roman" w:hAnsi="Times New Roman" w:eastAsia="楷体_GB2312" w:cs="楷体_GB2312"/>
                <w:kern w:val="0"/>
                <w:szCs w:val="21"/>
                <w:lang w:val="en-US" w:eastAsia="zh-CN"/>
              </w:rPr>
              <w:t>27.5</w:t>
            </w:r>
          </w:p>
        </w:tc>
        <w:tc>
          <w:tcPr>
            <w:tcW w:w="1626" w:type="dxa"/>
            <w:noWrap w:val="0"/>
            <w:vAlign w:val="center"/>
          </w:tcPr>
          <w:p w14:paraId="16B733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kern w:val="0"/>
                <w:sz w:val="21"/>
                <w:szCs w:val="21"/>
                <w:lang w:val="en-US" w:eastAsia="zh-CN" w:bidi="ar-SA"/>
              </w:rPr>
            </w:pPr>
            <w:r>
              <w:rPr>
                <w:rFonts w:hint="eastAsia" w:ascii="Times New Roman" w:hAnsi="Times New Roman" w:eastAsia="楷体_GB2312" w:cs="楷体_GB2312"/>
                <w:kern w:val="0"/>
                <w:szCs w:val="21"/>
                <w:lang w:val="en-US" w:eastAsia="zh-CN"/>
              </w:rPr>
              <w:t>2.9</w:t>
            </w:r>
          </w:p>
        </w:tc>
        <w:tc>
          <w:tcPr>
            <w:tcW w:w="1387" w:type="dxa"/>
            <w:noWrap w:val="0"/>
            <w:vAlign w:val="center"/>
          </w:tcPr>
          <w:p w14:paraId="35FC60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kern w:val="0"/>
                <w:sz w:val="21"/>
                <w:szCs w:val="21"/>
                <w:lang w:val="en-US" w:eastAsia="zh-CN" w:bidi="ar-SA"/>
              </w:rPr>
            </w:pPr>
            <w:r>
              <w:rPr>
                <w:rFonts w:hint="eastAsia" w:ascii="Times New Roman" w:hAnsi="Times New Roman" w:eastAsia="楷体_GB2312" w:cs="楷体_GB2312"/>
                <w:kern w:val="0"/>
                <w:szCs w:val="21"/>
                <w:lang w:val="en-US" w:eastAsia="zh-CN"/>
              </w:rPr>
              <w:t>24.6</w:t>
            </w:r>
          </w:p>
        </w:tc>
        <w:tc>
          <w:tcPr>
            <w:tcW w:w="772" w:type="pct"/>
            <w:noWrap w:val="0"/>
            <w:vAlign w:val="center"/>
          </w:tcPr>
          <w:p w14:paraId="055AAF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楷体_GB2312"/>
                <w:kern w:val="0"/>
                <w:sz w:val="21"/>
                <w:szCs w:val="21"/>
                <w:lang w:val="en-US" w:eastAsia="zh-CN" w:bidi="ar-SA"/>
              </w:rPr>
            </w:pPr>
            <w:r>
              <w:rPr>
                <w:rFonts w:hint="eastAsia" w:ascii="Times New Roman" w:hAnsi="Times New Roman" w:eastAsia="楷体_GB2312" w:cs="楷体_GB2312"/>
                <w:kern w:val="0"/>
                <w:szCs w:val="21"/>
                <w:lang w:val="en-US" w:eastAsia="zh-CN"/>
              </w:rPr>
              <w:t>17.0</w:t>
            </w:r>
          </w:p>
        </w:tc>
      </w:tr>
    </w:tbl>
    <w:p w14:paraId="12D0EAC2">
      <w:pPr>
        <w:keepNext w:val="0"/>
        <w:keepLines w:val="0"/>
        <w:pageBreakBefore w:val="0"/>
        <w:widowControl w:val="0"/>
        <w:kinsoku/>
        <w:overflowPunct/>
        <w:topLinePunct w:val="0"/>
        <w:autoSpaceDE/>
        <w:autoSpaceDN/>
        <w:bidi w:val="0"/>
        <w:adjustRightInd/>
        <w:spacing w:line="360" w:lineRule="auto"/>
        <w:ind w:left="840" w:leftChars="400" w:firstLine="0" w:firstLineChars="0"/>
        <w:textAlignment w:val="auto"/>
        <w:rPr>
          <w:rFonts w:ascii="Times New Roman" w:hAnsi="Times New Roman"/>
        </w:rPr>
      </w:pPr>
      <w:r>
        <w:rPr>
          <w:rFonts w:ascii="Times New Roman" w:hAnsi="Times New Roman"/>
        </w:rPr>
        <w:drawing>
          <wp:inline distT="0" distB="0" distL="114300" distR="114300">
            <wp:extent cx="4474210" cy="2355850"/>
            <wp:effectExtent l="0" t="0" r="2540" b="6350"/>
            <wp:docPr id="2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E4BBE4">
      <w:pPr>
        <w:keepNext w:val="0"/>
        <w:keepLines w:val="0"/>
        <w:pageBreakBefore w:val="0"/>
        <w:widowControl w:val="0"/>
        <w:kinsoku/>
        <w:overflowPunct/>
        <w:topLinePunct w:val="0"/>
        <w:bidi w:val="0"/>
        <w:adjustRightInd/>
        <w:spacing w:line="360" w:lineRule="auto"/>
        <w:jc w:val="center"/>
        <w:textAlignment w:val="auto"/>
        <w:rPr>
          <w:rFonts w:hint="default" w:ascii="Times New Roman" w:hAnsi="Times New Roman"/>
          <w:lang w:val="en-US" w:eastAsia="zh-CN"/>
        </w:rPr>
      </w:pPr>
      <w:r>
        <w:rPr>
          <w:rFonts w:hint="eastAsia" w:ascii="Times New Roman" w:hAnsi="Times New Roman" w:eastAsia="楷体"/>
          <w:b w:val="0"/>
          <w:bCs/>
          <w:szCs w:val="21"/>
        </w:rPr>
        <w:t>图</w:t>
      </w:r>
      <w:r>
        <w:rPr>
          <w:rFonts w:hint="eastAsia" w:ascii="Times New Roman" w:hAnsi="Times New Roman" w:eastAsia="楷体"/>
          <w:b w:val="0"/>
          <w:bCs/>
          <w:szCs w:val="21"/>
          <w:lang w:val="en-US" w:eastAsia="zh-CN"/>
        </w:rPr>
        <w:t xml:space="preserve">1 </w:t>
      </w:r>
      <w:r>
        <w:rPr>
          <w:rFonts w:hint="eastAsia" w:ascii="Times New Roman" w:hAnsi="Times New Roman" w:eastAsia="楷体"/>
          <w:b w:val="0"/>
          <w:bCs/>
          <w:szCs w:val="21"/>
          <w:lang w:eastAsia="zh-CN"/>
        </w:rPr>
        <w:t>大米样品直链淀粉含量分布图</w:t>
      </w:r>
    </w:p>
    <w:p w14:paraId="2D6FF5DB">
      <w:pPr>
        <w:keepNext w:val="0"/>
        <w:keepLines w:val="0"/>
        <w:pageBreakBefore w:val="0"/>
        <w:widowControl w:val="0"/>
        <w:kinsoku/>
        <w:overflowPunct/>
        <w:topLinePunct w:val="0"/>
        <w:autoSpaceDE/>
        <w:autoSpaceDN/>
        <w:bidi w:val="0"/>
        <w:adjustRightInd/>
        <w:spacing w:line="360" w:lineRule="auto"/>
        <w:ind w:firstLine="704" w:firstLineChars="220"/>
        <w:textAlignment w:val="auto"/>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（三）定标模型的建立和验证</w:t>
      </w:r>
    </w:p>
    <w:p w14:paraId="128EDB27">
      <w:pPr>
        <w:keepNext w:val="0"/>
        <w:keepLines w:val="0"/>
        <w:pageBreakBefore w:val="0"/>
        <w:widowControl w:val="0"/>
        <w:kinsoku/>
        <w:overflowPunct/>
        <w:topLinePunct w:val="0"/>
        <w:autoSpaceDE/>
        <w:autoSpaceDN/>
        <w:bidi w:val="0"/>
        <w:adjustRightInd/>
        <w:spacing w:line="360" w:lineRule="auto"/>
        <w:ind w:firstLine="704" w:firstLineChars="220"/>
        <w:textAlignment w:val="auto"/>
        <w:rPr>
          <w:rFonts w:hint="default" w:ascii="Times New Roman" w:hAnsi="Times New Roman"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 光谱数据预处理</w:t>
      </w:r>
    </w:p>
    <w:p w14:paraId="2AB7867C">
      <w:pPr>
        <w:keepNext w:val="0"/>
        <w:keepLines w:val="0"/>
        <w:pageBreakBefore w:val="0"/>
        <w:widowControl w:val="0"/>
        <w:kinsoku/>
        <w:wordWrap/>
        <w:overflowPunct/>
        <w:topLinePunct w:val="0"/>
        <w:bidi w:val="0"/>
        <w:adjustRightInd/>
        <w:snapToGrid/>
        <w:spacing w:line="600" w:lineRule="exact"/>
        <w:ind w:firstLine="640" w:firstLineChars="200"/>
        <w:rPr>
          <w:rFonts w:hint="default" w:ascii="Times New Roman" w:hAnsi="Times New Roman" w:eastAsia="仿宋_GB2312" w:cs="仿宋_GB2312"/>
          <w:color w:val="000000" w:themeColor="text1"/>
          <w:sz w:val="32"/>
          <w:szCs w:val="32"/>
          <w:lang w:val="en-US" w:eastAsia="zh-CN" w:bidi="ar"/>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样品的原始光谱数据往往包含噪声、基线漂移和其他干扰因素，影响定标模型的准确性和可靠性。因此，在建模分析前，往往要对原始光谱数据进行预处理。本标准利用仪器配套的软件</w:t>
      </w: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分析了光谱数据经多种不同组合的方法预处理后，所建立的PLS回归模型效果。结果见表2。从表2可知，与未进行处理相比，不同组合的处理方法在一定程度上提高模型性能，其中进口设备最优预处理方法为一阶导15点平滑+SNV+Detrend，国产设备为SNV+Detrend+一阶导7点平滑。处理后的光谱图分别见图2、3。</w:t>
      </w:r>
    </w:p>
    <w:p w14:paraId="4F6CDC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b w:val="0"/>
          <w:bCs/>
          <w:szCs w:val="21"/>
        </w:rPr>
      </w:pPr>
    </w:p>
    <w:p w14:paraId="4A265807">
      <w:pPr>
        <w:pStyle w:val="2"/>
        <w:rPr>
          <w:rFonts w:hint="eastAsia"/>
        </w:rPr>
      </w:pPr>
    </w:p>
    <w:p w14:paraId="2DBB20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b w:val="0"/>
          <w:bCs/>
          <w:szCs w:val="21"/>
        </w:rPr>
      </w:pPr>
    </w:p>
    <w:p w14:paraId="5D6C65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楷体"/>
          <w:b w:val="0"/>
          <w:bCs/>
          <w:szCs w:val="21"/>
        </w:rPr>
      </w:pPr>
      <w:r>
        <w:rPr>
          <w:rFonts w:hint="eastAsia" w:ascii="Times New Roman" w:hAnsi="Times New Roman" w:eastAsia="楷体"/>
          <w:b w:val="0"/>
          <w:bCs/>
          <w:szCs w:val="21"/>
        </w:rPr>
        <w:t>表</w:t>
      </w:r>
      <w:r>
        <w:rPr>
          <w:rFonts w:hint="eastAsia" w:ascii="Times New Roman" w:hAnsi="Times New Roman" w:eastAsia="楷体"/>
          <w:b w:val="0"/>
          <w:bCs/>
          <w:szCs w:val="21"/>
          <w:lang w:val="en-US" w:eastAsia="zh-CN"/>
        </w:rPr>
        <w:t>2</w:t>
      </w:r>
      <w:r>
        <w:rPr>
          <w:rFonts w:hint="eastAsia" w:ascii="Times New Roman" w:hAnsi="Times New Roman" w:eastAsia="楷体"/>
          <w:b w:val="0"/>
          <w:bCs/>
          <w:szCs w:val="21"/>
        </w:rPr>
        <w:t xml:space="preserve"> </w:t>
      </w:r>
      <w:r>
        <w:rPr>
          <w:rFonts w:hint="eastAsia" w:ascii="Times New Roman" w:hAnsi="Times New Roman" w:eastAsia="楷体"/>
          <w:b w:val="0"/>
          <w:bCs/>
          <w:szCs w:val="21"/>
          <w:lang w:val="en-US" w:eastAsia="zh-CN"/>
        </w:rPr>
        <w:t xml:space="preserve"> </w:t>
      </w:r>
      <w:r>
        <w:rPr>
          <w:rFonts w:hint="eastAsia" w:ascii="Times New Roman" w:hAnsi="Times New Roman" w:eastAsia="楷体"/>
          <w:b w:val="0"/>
          <w:bCs/>
          <w:szCs w:val="21"/>
          <w:lang w:eastAsia="zh-CN"/>
        </w:rPr>
        <w:t>不同预处理方法的</w:t>
      </w:r>
      <w:r>
        <w:rPr>
          <w:rFonts w:hint="eastAsia" w:ascii="Times New Roman" w:hAnsi="Times New Roman" w:eastAsia="楷体"/>
          <w:b w:val="0"/>
          <w:bCs/>
          <w:szCs w:val="21"/>
          <w:lang w:val="en-US" w:eastAsia="zh-CN"/>
        </w:rPr>
        <w:t>PLS</w:t>
      </w:r>
      <w:r>
        <w:rPr>
          <w:rFonts w:hint="eastAsia" w:ascii="Times New Roman" w:hAnsi="Times New Roman" w:eastAsia="楷体"/>
          <w:b w:val="0"/>
          <w:bCs/>
          <w:szCs w:val="21"/>
          <w:lang w:eastAsia="zh-CN"/>
        </w:rPr>
        <w:t>模型效果</w:t>
      </w:r>
    </w:p>
    <w:tbl>
      <w:tblPr>
        <w:tblStyle w:val="9"/>
        <w:tblW w:w="4998" w:type="pct"/>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76"/>
        <w:gridCol w:w="4415"/>
        <w:gridCol w:w="815"/>
        <w:gridCol w:w="1298"/>
        <w:gridCol w:w="1053"/>
      </w:tblGrid>
      <w:tr w14:paraId="2DF955B8">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PrEx>
        <w:trPr>
          <w:trHeight w:val="522" w:hRule="atLeast"/>
        </w:trPr>
        <w:tc>
          <w:tcPr>
            <w:tcW w:w="815" w:type="pct"/>
            <w:tcBorders>
              <w:bottom w:val="single" w:color="000000" w:sz="6" w:space="0"/>
              <w:right w:val="nil"/>
            </w:tcBorders>
            <w:noWrap w:val="0"/>
            <w:vAlign w:val="center"/>
          </w:tcPr>
          <w:p w14:paraId="53F2B6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eastAsia="zh-CN"/>
              </w:rPr>
            </w:pPr>
            <w:r>
              <w:rPr>
                <w:rFonts w:hint="eastAsia" w:ascii="Times New Roman" w:hAnsi="Times New Roman" w:eastAsia="楷体" w:cs="Times New Roman"/>
                <w:b w:val="0"/>
                <w:bCs/>
                <w:sz w:val="21"/>
                <w:szCs w:val="21"/>
                <w:lang w:eastAsia="zh-CN"/>
              </w:rPr>
              <w:t>设备</w:t>
            </w:r>
          </w:p>
        </w:tc>
        <w:tc>
          <w:tcPr>
            <w:tcW w:w="2436" w:type="pct"/>
            <w:tcBorders>
              <w:left w:val="nil"/>
              <w:bottom w:val="single" w:color="000000" w:sz="6" w:space="0"/>
            </w:tcBorders>
            <w:noWrap w:val="0"/>
            <w:vAlign w:val="center"/>
          </w:tcPr>
          <w:p w14:paraId="5F3EBF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eastAsia="zh-CN"/>
              </w:rPr>
            </w:pPr>
            <w:r>
              <w:rPr>
                <w:rFonts w:hint="eastAsia" w:ascii="Times New Roman" w:hAnsi="Times New Roman" w:eastAsia="楷体" w:cs="Times New Roman"/>
                <w:b w:val="0"/>
                <w:bCs/>
                <w:sz w:val="21"/>
                <w:szCs w:val="21"/>
                <w:lang w:eastAsia="zh-CN"/>
              </w:rPr>
              <w:t>预处理方法</w:t>
            </w:r>
          </w:p>
        </w:tc>
        <w:tc>
          <w:tcPr>
            <w:tcW w:w="450" w:type="pct"/>
            <w:tcBorders>
              <w:bottom w:val="single" w:color="000000" w:sz="6" w:space="0"/>
            </w:tcBorders>
            <w:noWrap w:val="0"/>
            <w:vAlign w:val="center"/>
          </w:tcPr>
          <w:p w14:paraId="421505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i/>
                <w:iCs/>
                <w:sz w:val="21"/>
                <w:szCs w:val="21"/>
                <w:lang w:eastAsia="zh-CN"/>
              </w:rPr>
            </w:pPr>
            <w:r>
              <w:rPr>
                <w:rFonts w:hint="default" w:ascii="Times New Roman" w:hAnsi="Times New Roman" w:eastAsia="楷体" w:cs="Times New Roman"/>
                <w:b w:val="0"/>
                <w:bCs/>
                <w:i/>
                <w:iCs/>
                <w:sz w:val="21"/>
                <w:szCs w:val="21"/>
                <w:lang w:val="en-US" w:eastAsia="zh-CN"/>
              </w:rPr>
              <w:t>R</w:t>
            </w:r>
            <w:r>
              <w:rPr>
                <w:rFonts w:hint="eastAsia" w:ascii="Times New Roman" w:hAnsi="Times New Roman" w:eastAsia="楷体" w:cs="Times New Roman"/>
                <w:b w:val="0"/>
                <w:bCs/>
                <w:i/>
                <w:iCs/>
                <w:sz w:val="21"/>
                <w:szCs w:val="21"/>
                <w:vertAlign w:val="subscript"/>
                <w:lang w:val="en-US" w:eastAsia="zh-CN"/>
              </w:rPr>
              <w:t>e</w:t>
            </w:r>
            <w:r>
              <w:rPr>
                <w:rFonts w:hint="eastAsia" w:ascii="Times New Roman" w:hAnsi="Times New Roman" w:eastAsia="楷体" w:cs="Times New Roman"/>
                <w:b w:val="0"/>
                <w:bCs/>
                <w:i/>
                <w:iCs/>
                <w:sz w:val="21"/>
                <w:szCs w:val="21"/>
                <w:lang w:val="en-US" w:eastAsia="zh-CN"/>
              </w:rPr>
              <w:t>²</w:t>
            </w:r>
          </w:p>
        </w:tc>
        <w:tc>
          <w:tcPr>
            <w:tcW w:w="716" w:type="pct"/>
            <w:tcBorders>
              <w:bottom w:val="single" w:color="000000" w:sz="6" w:space="0"/>
            </w:tcBorders>
            <w:noWrap w:val="0"/>
            <w:vAlign w:val="center"/>
          </w:tcPr>
          <w:p w14:paraId="4E43B1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i/>
                <w:iCs/>
                <w:sz w:val="21"/>
                <w:szCs w:val="21"/>
                <w:lang w:eastAsia="zh-CN"/>
              </w:rPr>
            </w:pPr>
            <w:r>
              <w:rPr>
                <w:rFonts w:hint="eastAsia" w:ascii="Times New Roman" w:hAnsi="Times New Roman" w:eastAsia="楷体" w:cs="Times New Roman"/>
                <w:b w:val="0"/>
                <w:bCs/>
                <w:i/>
                <w:iCs/>
                <w:sz w:val="21"/>
                <w:szCs w:val="21"/>
                <w:lang w:val="en-US" w:eastAsia="zh-CN"/>
              </w:rPr>
              <w:t>RMSEC</w:t>
            </w:r>
          </w:p>
        </w:tc>
        <w:tc>
          <w:tcPr>
            <w:tcW w:w="581" w:type="pct"/>
            <w:tcBorders>
              <w:bottom w:val="single" w:color="000000" w:sz="6" w:space="0"/>
            </w:tcBorders>
            <w:noWrap w:val="0"/>
            <w:vAlign w:val="center"/>
          </w:tcPr>
          <w:p w14:paraId="0A4F3A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i/>
                <w:iCs/>
                <w:sz w:val="21"/>
                <w:szCs w:val="21"/>
                <w:lang w:eastAsia="zh-CN"/>
              </w:rPr>
            </w:pPr>
            <w:r>
              <w:rPr>
                <w:rFonts w:hint="eastAsia" w:ascii="Times New Roman" w:hAnsi="Times New Roman" w:eastAsia="楷体" w:cs="Times New Roman"/>
                <w:b w:val="0"/>
                <w:bCs/>
                <w:i/>
                <w:iCs/>
                <w:sz w:val="21"/>
                <w:szCs w:val="21"/>
                <w:lang w:val="en-US" w:eastAsia="zh-CN"/>
              </w:rPr>
              <w:t>SECV</w:t>
            </w:r>
          </w:p>
        </w:tc>
      </w:tr>
      <w:tr w14:paraId="50F169AC">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815" w:type="pct"/>
            <w:vMerge w:val="restart"/>
            <w:tcBorders>
              <w:right w:val="nil"/>
            </w:tcBorders>
            <w:noWrap w:val="0"/>
            <w:vAlign w:val="center"/>
          </w:tcPr>
          <w:p w14:paraId="58F62B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sz w:val="21"/>
                <w:szCs w:val="21"/>
                <w:lang w:eastAsia="zh-CN"/>
              </w:rPr>
            </w:pPr>
            <w:r>
              <w:rPr>
                <w:rFonts w:hint="eastAsia" w:ascii="Times New Roman" w:hAnsi="Times New Roman" w:eastAsia="楷体_GB2312" w:cs="楷体_GB2312"/>
                <w:sz w:val="21"/>
                <w:szCs w:val="21"/>
                <w:lang w:eastAsia="zh-CN"/>
              </w:rPr>
              <w:t>进口设备</w:t>
            </w:r>
          </w:p>
        </w:tc>
        <w:tc>
          <w:tcPr>
            <w:tcW w:w="2436" w:type="pct"/>
            <w:tcBorders>
              <w:left w:val="nil"/>
            </w:tcBorders>
            <w:noWrap w:val="0"/>
            <w:vAlign w:val="center"/>
          </w:tcPr>
          <w:p w14:paraId="325A5D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未处理</w:t>
            </w:r>
          </w:p>
        </w:tc>
        <w:tc>
          <w:tcPr>
            <w:tcW w:w="450" w:type="pct"/>
            <w:noWrap w:val="0"/>
            <w:vAlign w:val="center"/>
          </w:tcPr>
          <w:p w14:paraId="7C53C6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0.83</w:t>
            </w:r>
          </w:p>
        </w:tc>
        <w:tc>
          <w:tcPr>
            <w:tcW w:w="716" w:type="pct"/>
            <w:noWrap w:val="0"/>
            <w:vAlign w:val="center"/>
          </w:tcPr>
          <w:p w14:paraId="169913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 xml:space="preserve">2.34 </w:t>
            </w:r>
          </w:p>
        </w:tc>
        <w:tc>
          <w:tcPr>
            <w:tcW w:w="581" w:type="pct"/>
            <w:noWrap w:val="0"/>
            <w:vAlign w:val="center"/>
          </w:tcPr>
          <w:p w14:paraId="24A11A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2.66</w:t>
            </w:r>
          </w:p>
        </w:tc>
      </w:tr>
      <w:tr w14:paraId="30BC59C3">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815" w:type="pct"/>
            <w:vMerge w:val="continue"/>
            <w:tcBorders>
              <w:right w:val="nil"/>
            </w:tcBorders>
            <w:noWrap w:val="0"/>
            <w:vAlign w:val="center"/>
          </w:tcPr>
          <w:p w14:paraId="4F1B11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color w:val="000000"/>
                <w:kern w:val="0"/>
                <w:sz w:val="21"/>
                <w:szCs w:val="21"/>
                <w:lang w:eastAsia="zh-CN"/>
              </w:rPr>
            </w:pPr>
          </w:p>
        </w:tc>
        <w:tc>
          <w:tcPr>
            <w:tcW w:w="2436" w:type="pct"/>
            <w:tcBorders>
              <w:left w:val="nil"/>
            </w:tcBorders>
            <w:noWrap w:val="0"/>
            <w:vAlign w:val="center"/>
          </w:tcPr>
          <w:p w14:paraId="6242CF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一阶导21点平滑+SNV+Detrend</w:t>
            </w:r>
          </w:p>
        </w:tc>
        <w:tc>
          <w:tcPr>
            <w:tcW w:w="450" w:type="pct"/>
            <w:noWrap w:val="0"/>
            <w:vAlign w:val="center"/>
          </w:tcPr>
          <w:p w14:paraId="08CD5C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0.96</w:t>
            </w:r>
          </w:p>
        </w:tc>
        <w:tc>
          <w:tcPr>
            <w:tcW w:w="716" w:type="pct"/>
            <w:noWrap w:val="0"/>
            <w:vAlign w:val="center"/>
          </w:tcPr>
          <w:p w14:paraId="4F86AD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 xml:space="preserve">1.12 </w:t>
            </w:r>
          </w:p>
        </w:tc>
        <w:tc>
          <w:tcPr>
            <w:tcW w:w="581" w:type="pct"/>
            <w:noWrap w:val="0"/>
            <w:vAlign w:val="center"/>
          </w:tcPr>
          <w:p w14:paraId="0FEE3E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1.27</w:t>
            </w:r>
          </w:p>
        </w:tc>
      </w:tr>
      <w:tr w14:paraId="5985A366">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815" w:type="pct"/>
            <w:vMerge w:val="continue"/>
            <w:tcBorders>
              <w:right w:val="nil"/>
            </w:tcBorders>
            <w:noWrap w:val="0"/>
            <w:vAlign w:val="center"/>
          </w:tcPr>
          <w:p w14:paraId="47FAFD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color w:val="000000"/>
                <w:kern w:val="0"/>
                <w:sz w:val="21"/>
                <w:szCs w:val="21"/>
                <w:lang w:eastAsia="zh-CN"/>
              </w:rPr>
            </w:pPr>
          </w:p>
        </w:tc>
        <w:tc>
          <w:tcPr>
            <w:tcW w:w="2436" w:type="pct"/>
            <w:tcBorders>
              <w:left w:val="nil"/>
            </w:tcBorders>
            <w:noWrap w:val="0"/>
            <w:vAlign w:val="center"/>
          </w:tcPr>
          <w:p w14:paraId="687CF1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二阶导21点平滑+SNV+Detrend</w:t>
            </w:r>
          </w:p>
        </w:tc>
        <w:tc>
          <w:tcPr>
            <w:tcW w:w="450" w:type="pct"/>
            <w:noWrap w:val="0"/>
            <w:vAlign w:val="center"/>
          </w:tcPr>
          <w:p w14:paraId="10FF72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0.93</w:t>
            </w:r>
          </w:p>
        </w:tc>
        <w:tc>
          <w:tcPr>
            <w:tcW w:w="716" w:type="pct"/>
            <w:noWrap w:val="0"/>
            <w:vAlign w:val="center"/>
          </w:tcPr>
          <w:p w14:paraId="75A9FA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 xml:space="preserve">1.50 </w:t>
            </w:r>
          </w:p>
        </w:tc>
        <w:tc>
          <w:tcPr>
            <w:tcW w:w="581" w:type="pct"/>
            <w:noWrap w:val="0"/>
            <w:vAlign w:val="center"/>
          </w:tcPr>
          <w:p w14:paraId="01E538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1.66</w:t>
            </w:r>
          </w:p>
        </w:tc>
      </w:tr>
      <w:tr w14:paraId="00331BBE">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815" w:type="pct"/>
            <w:vMerge w:val="continue"/>
            <w:tcBorders>
              <w:right w:val="nil"/>
            </w:tcBorders>
            <w:noWrap w:val="0"/>
            <w:vAlign w:val="center"/>
          </w:tcPr>
          <w:p w14:paraId="6DB9A2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color w:val="000000"/>
                <w:kern w:val="0"/>
                <w:sz w:val="21"/>
                <w:szCs w:val="21"/>
                <w:lang w:eastAsia="zh-CN"/>
              </w:rPr>
            </w:pPr>
          </w:p>
        </w:tc>
        <w:tc>
          <w:tcPr>
            <w:tcW w:w="2436" w:type="pct"/>
            <w:tcBorders>
              <w:left w:val="nil"/>
            </w:tcBorders>
            <w:noWrap w:val="0"/>
            <w:vAlign w:val="center"/>
          </w:tcPr>
          <w:p w14:paraId="79A671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一阶导15点平滑+SNV+Detrend</w:t>
            </w:r>
          </w:p>
        </w:tc>
        <w:tc>
          <w:tcPr>
            <w:tcW w:w="450" w:type="pct"/>
            <w:noWrap w:val="0"/>
            <w:vAlign w:val="center"/>
          </w:tcPr>
          <w:p w14:paraId="05196F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0.96</w:t>
            </w:r>
          </w:p>
        </w:tc>
        <w:tc>
          <w:tcPr>
            <w:tcW w:w="716" w:type="pct"/>
            <w:noWrap w:val="0"/>
            <w:vAlign w:val="center"/>
          </w:tcPr>
          <w:p w14:paraId="22C955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 xml:space="preserve">1.05 </w:t>
            </w:r>
          </w:p>
        </w:tc>
        <w:tc>
          <w:tcPr>
            <w:tcW w:w="581" w:type="pct"/>
            <w:noWrap w:val="0"/>
            <w:vAlign w:val="center"/>
          </w:tcPr>
          <w:p w14:paraId="138EDF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1.21</w:t>
            </w:r>
          </w:p>
        </w:tc>
      </w:tr>
      <w:tr w14:paraId="7CDAE3CA">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815" w:type="pct"/>
            <w:vMerge w:val="continue"/>
            <w:tcBorders>
              <w:right w:val="nil"/>
            </w:tcBorders>
            <w:noWrap w:val="0"/>
            <w:vAlign w:val="center"/>
          </w:tcPr>
          <w:p w14:paraId="0EBC04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color w:val="000000"/>
                <w:kern w:val="0"/>
                <w:sz w:val="21"/>
                <w:szCs w:val="21"/>
                <w:lang w:eastAsia="zh-CN"/>
              </w:rPr>
            </w:pPr>
          </w:p>
        </w:tc>
        <w:tc>
          <w:tcPr>
            <w:tcW w:w="2436" w:type="pct"/>
            <w:tcBorders>
              <w:left w:val="nil"/>
            </w:tcBorders>
            <w:noWrap w:val="0"/>
            <w:vAlign w:val="center"/>
          </w:tcPr>
          <w:p w14:paraId="33EF89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一阶导15点平滑+MSC+Detrend</w:t>
            </w:r>
          </w:p>
        </w:tc>
        <w:tc>
          <w:tcPr>
            <w:tcW w:w="450" w:type="pct"/>
            <w:noWrap w:val="0"/>
            <w:vAlign w:val="center"/>
          </w:tcPr>
          <w:p w14:paraId="31E689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0.96</w:t>
            </w:r>
          </w:p>
        </w:tc>
        <w:tc>
          <w:tcPr>
            <w:tcW w:w="716" w:type="pct"/>
            <w:noWrap w:val="0"/>
            <w:vAlign w:val="center"/>
          </w:tcPr>
          <w:p w14:paraId="7EF10A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 xml:space="preserve">1.10 </w:t>
            </w:r>
          </w:p>
        </w:tc>
        <w:tc>
          <w:tcPr>
            <w:tcW w:w="581" w:type="pct"/>
            <w:noWrap w:val="0"/>
            <w:vAlign w:val="center"/>
          </w:tcPr>
          <w:p w14:paraId="44FFED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1.27</w:t>
            </w:r>
          </w:p>
        </w:tc>
      </w:tr>
      <w:tr w14:paraId="2F62258A">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815" w:type="pct"/>
            <w:vMerge w:val="continue"/>
            <w:tcBorders>
              <w:right w:val="nil"/>
            </w:tcBorders>
            <w:noWrap w:val="0"/>
            <w:vAlign w:val="center"/>
          </w:tcPr>
          <w:p w14:paraId="003996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color w:val="000000"/>
                <w:kern w:val="0"/>
                <w:sz w:val="21"/>
                <w:szCs w:val="21"/>
                <w:lang w:eastAsia="zh-CN"/>
              </w:rPr>
            </w:pPr>
          </w:p>
        </w:tc>
        <w:tc>
          <w:tcPr>
            <w:tcW w:w="2436" w:type="pct"/>
            <w:tcBorders>
              <w:left w:val="nil"/>
            </w:tcBorders>
            <w:noWrap w:val="0"/>
            <w:vAlign w:val="center"/>
          </w:tcPr>
          <w:p w14:paraId="2F663C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二阶导15点平滑+MSC+Detrend</w:t>
            </w:r>
          </w:p>
        </w:tc>
        <w:tc>
          <w:tcPr>
            <w:tcW w:w="450" w:type="pct"/>
            <w:noWrap w:val="0"/>
            <w:vAlign w:val="center"/>
          </w:tcPr>
          <w:p w14:paraId="709AC3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0.95</w:t>
            </w:r>
          </w:p>
        </w:tc>
        <w:tc>
          <w:tcPr>
            <w:tcW w:w="716" w:type="pct"/>
            <w:noWrap w:val="0"/>
            <w:vAlign w:val="center"/>
          </w:tcPr>
          <w:p w14:paraId="38A219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 xml:space="preserve">1.11 </w:t>
            </w:r>
          </w:p>
        </w:tc>
        <w:tc>
          <w:tcPr>
            <w:tcW w:w="581" w:type="pct"/>
            <w:noWrap w:val="0"/>
            <w:vAlign w:val="center"/>
          </w:tcPr>
          <w:p w14:paraId="2112B6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1.38</w:t>
            </w:r>
          </w:p>
        </w:tc>
      </w:tr>
      <w:tr w14:paraId="497F9A35">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815" w:type="pct"/>
            <w:vMerge w:val="restart"/>
            <w:tcBorders>
              <w:right w:val="nil"/>
            </w:tcBorders>
            <w:noWrap w:val="0"/>
            <w:vAlign w:val="center"/>
          </w:tcPr>
          <w:p w14:paraId="4E2C0D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color w:val="000000"/>
                <w:kern w:val="0"/>
                <w:sz w:val="21"/>
                <w:szCs w:val="21"/>
                <w:lang w:eastAsia="zh-CN"/>
              </w:rPr>
            </w:pPr>
            <w:r>
              <w:rPr>
                <w:rFonts w:hint="eastAsia" w:ascii="Times New Roman" w:hAnsi="Times New Roman" w:eastAsia="楷体_GB2312" w:cs="楷体_GB2312"/>
                <w:color w:val="000000"/>
                <w:kern w:val="0"/>
                <w:sz w:val="21"/>
                <w:szCs w:val="21"/>
                <w:lang w:eastAsia="zh-CN"/>
              </w:rPr>
              <w:t>国产设备</w:t>
            </w:r>
          </w:p>
        </w:tc>
        <w:tc>
          <w:tcPr>
            <w:tcW w:w="2436" w:type="pct"/>
            <w:tcBorders>
              <w:left w:val="nil"/>
            </w:tcBorders>
            <w:noWrap w:val="0"/>
            <w:vAlign w:val="center"/>
          </w:tcPr>
          <w:p w14:paraId="14A01A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未处理</w:t>
            </w:r>
          </w:p>
        </w:tc>
        <w:tc>
          <w:tcPr>
            <w:tcW w:w="450" w:type="pct"/>
            <w:noWrap w:val="0"/>
            <w:vAlign w:val="center"/>
          </w:tcPr>
          <w:p w14:paraId="486345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0.94</w:t>
            </w:r>
          </w:p>
        </w:tc>
        <w:tc>
          <w:tcPr>
            <w:tcW w:w="716" w:type="pct"/>
            <w:noWrap w:val="0"/>
            <w:vAlign w:val="center"/>
          </w:tcPr>
          <w:p w14:paraId="024DC4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 xml:space="preserve">1.60 </w:t>
            </w:r>
          </w:p>
        </w:tc>
        <w:tc>
          <w:tcPr>
            <w:tcW w:w="581" w:type="pct"/>
            <w:noWrap w:val="0"/>
            <w:vAlign w:val="center"/>
          </w:tcPr>
          <w:p w14:paraId="3C9F0D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1.74</w:t>
            </w:r>
          </w:p>
        </w:tc>
      </w:tr>
      <w:tr w14:paraId="7E8B5898">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815" w:type="pct"/>
            <w:vMerge w:val="continue"/>
            <w:tcBorders>
              <w:right w:val="nil"/>
            </w:tcBorders>
            <w:noWrap w:val="0"/>
            <w:vAlign w:val="center"/>
          </w:tcPr>
          <w:p w14:paraId="5428DE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color w:val="000000"/>
                <w:kern w:val="0"/>
                <w:sz w:val="21"/>
                <w:szCs w:val="21"/>
                <w:lang w:eastAsia="zh-CN"/>
              </w:rPr>
            </w:pPr>
          </w:p>
        </w:tc>
        <w:tc>
          <w:tcPr>
            <w:tcW w:w="2436" w:type="pct"/>
            <w:tcBorders>
              <w:left w:val="nil"/>
            </w:tcBorders>
            <w:noWrap w:val="0"/>
            <w:vAlign w:val="center"/>
          </w:tcPr>
          <w:p w14:paraId="03A75A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SNV+Detrend+一阶导7点平滑</w:t>
            </w:r>
          </w:p>
        </w:tc>
        <w:tc>
          <w:tcPr>
            <w:tcW w:w="450" w:type="pct"/>
            <w:noWrap w:val="0"/>
            <w:vAlign w:val="center"/>
          </w:tcPr>
          <w:p w14:paraId="375ABF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0.97</w:t>
            </w:r>
          </w:p>
        </w:tc>
        <w:tc>
          <w:tcPr>
            <w:tcW w:w="716" w:type="pct"/>
            <w:noWrap w:val="0"/>
            <w:vAlign w:val="center"/>
          </w:tcPr>
          <w:p w14:paraId="64A036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1.04</w:t>
            </w:r>
          </w:p>
        </w:tc>
        <w:tc>
          <w:tcPr>
            <w:tcW w:w="581" w:type="pct"/>
            <w:noWrap w:val="0"/>
            <w:vAlign w:val="center"/>
          </w:tcPr>
          <w:p w14:paraId="411F0C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1.12</w:t>
            </w:r>
          </w:p>
        </w:tc>
      </w:tr>
      <w:tr w14:paraId="38510AF0">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PrEx>
        <w:trPr>
          <w:trHeight w:val="495" w:hRule="atLeast"/>
        </w:trPr>
        <w:tc>
          <w:tcPr>
            <w:tcW w:w="815" w:type="pct"/>
            <w:vMerge w:val="continue"/>
            <w:tcBorders>
              <w:right w:val="nil"/>
            </w:tcBorders>
            <w:noWrap w:val="0"/>
            <w:vAlign w:val="center"/>
          </w:tcPr>
          <w:p w14:paraId="117CF3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color w:val="000000"/>
                <w:kern w:val="0"/>
                <w:sz w:val="21"/>
                <w:szCs w:val="21"/>
                <w:lang w:eastAsia="zh-CN"/>
              </w:rPr>
            </w:pPr>
          </w:p>
        </w:tc>
        <w:tc>
          <w:tcPr>
            <w:tcW w:w="2436" w:type="pct"/>
            <w:tcBorders>
              <w:left w:val="nil"/>
            </w:tcBorders>
            <w:noWrap w:val="0"/>
            <w:vAlign w:val="center"/>
          </w:tcPr>
          <w:p w14:paraId="34B1B6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SNV+Detrend+一阶导11点平滑</w:t>
            </w:r>
          </w:p>
        </w:tc>
        <w:tc>
          <w:tcPr>
            <w:tcW w:w="450" w:type="pct"/>
            <w:noWrap w:val="0"/>
            <w:vAlign w:val="center"/>
          </w:tcPr>
          <w:p w14:paraId="4994B4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0.96</w:t>
            </w:r>
          </w:p>
        </w:tc>
        <w:tc>
          <w:tcPr>
            <w:tcW w:w="716" w:type="pct"/>
            <w:noWrap w:val="0"/>
            <w:vAlign w:val="center"/>
          </w:tcPr>
          <w:p w14:paraId="1838AB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 xml:space="preserve">1.16 </w:t>
            </w:r>
          </w:p>
        </w:tc>
        <w:tc>
          <w:tcPr>
            <w:tcW w:w="581" w:type="pct"/>
            <w:noWrap w:val="0"/>
            <w:vAlign w:val="center"/>
          </w:tcPr>
          <w:p w14:paraId="3D39C7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1.26</w:t>
            </w:r>
          </w:p>
        </w:tc>
      </w:tr>
      <w:tr w14:paraId="1137D4F1">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815" w:type="pct"/>
            <w:vMerge w:val="continue"/>
            <w:tcBorders>
              <w:right w:val="nil"/>
            </w:tcBorders>
            <w:noWrap w:val="0"/>
            <w:vAlign w:val="center"/>
          </w:tcPr>
          <w:p w14:paraId="0EEB0D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color w:val="000000"/>
                <w:kern w:val="0"/>
                <w:sz w:val="21"/>
                <w:szCs w:val="21"/>
                <w:lang w:eastAsia="zh-CN"/>
              </w:rPr>
            </w:pPr>
          </w:p>
        </w:tc>
        <w:tc>
          <w:tcPr>
            <w:tcW w:w="2436" w:type="pct"/>
            <w:tcBorders>
              <w:left w:val="nil"/>
            </w:tcBorders>
            <w:noWrap w:val="0"/>
            <w:vAlign w:val="center"/>
          </w:tcPr>
          <w:p w14:paraId="642970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SNV+Detrend+二阶导7点平滑</w:t>
            </w:r>
          </w:p>
        </w:tc>
        <w:tc>
          <w:tcPr>
            <w:tcW w:w="450" w:type="pct"/>
            <w:noWrap w:val="0"/>
            <w:vAlign w:val="center"/>
          </w:tcPr>
          <w:p w14:paraId="34BE26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0.97</w:t>
            </w:r>
          </w:p>
        </w:tc>
        <w:tc>
          <w:tcPr>
            <w:tcW w:w="716" w:type="pct"/>
            <w:noWrap w:val="0"/>
            <w:vAlign w:val="center"/>
          </w:tcPr>
          <w:p w14:paraId="634E87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 xml:space="preserve">1.07 </w:t>
            </w:r>
          </w:p>
        </w:tc>
        <w:tc>
          <w:tcPr>
            <w:tcW w:w="581" w:type="pct"/>
            <w:noWrap w:val="0"/>
            <w:vAlign w:val="center"/>
          </w:tcPr>
          <w:p w14:paraId="5A3CAD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1.31</w:t>
            </w:r>
          </w:p>
        </w:tc>
      </w:tr>
      <w:tr w14:paraId="0A82C921">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815" w:type="pct"/>
            <w:vMerge w:val="continue"/>
            <w:tcBorders>
              <w:right w:val="nil"/>
            </w:tcBorders>
            <w:noWrap w:val="0"/>
            <w:vAlign w:val="center"/>
          </w:tcPr>
          <w:p w14:paraId="521D4D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color w:val="000000"/>
                <w:kern w:val="0"/>
                <w:sz w:val="21"/>
                <w:szCs w:val="21"/>
                <w:lang w:eastAsia="zh-CN"/>
              </w:rPr>
            </w:pPr>
          </w:p>
        </w:tc>
        <w:tc>
          <w:tcPr>
            <w:tcW w:w="2436" w:type="pct"/>
            <w:tcBorders>
              <w:left w:val="nil"/>
            </w:tcBorders>
            <w:noWrap w:val="0"/>
            <w:vAlign w:val="center"/>
          </w:tcPr>
          <w:p w14:paraId="54F01B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MSC+Detrend+一阶导7点平滑</w:t>
            </w:r>
          </w:p>
        </w:tc>
        <w:tc>
          <w:tcPr>
            <w:tcW w:w="450" w:type="pct"/>
            <w:noWrap w:val="0"/>
            <w:vAlign w:val="center"/>
          </w:tcPr>
          <w:p w14:paraId="557FCF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0.96</w:t>
            </w:r>
          </w:p>
        </w:tc>
        <w:tc>
          <w:tcPr>
            <w:tcW w:w="716" w:type="pct"/>
            <w:noWrap w:val="0"/>
            <w:vAlign w:val="center"/>
          </w:tcPr>
          <w:p w14:paraId="198F69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 xml:space="preserve">1.18 </w:t>
            </w:r>
          </w:p>
        </w:tc>
        <w:tc>
          <w:tcPr>
            <w:tcW w:w="581" w:type="pct"/>
            <w:noWrap w:val="0"/>
            <w:vAlign w:val="center"/>
          </w:tcPr>
          <w:p w14:paraId="59D0F2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1.31</w:t>
            </w:r>
          </w:p>
        </w:tc>
      </w:tr>
      <w:tr w14:paraId="42DA6538">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815" w:type="pct"/>
            <w:vMerge w:val="continue"/>
            <w:tcBorders>
              <w:right w:val="nil"/>
            </w:tcBorders>
            <w:noWrap w:val="0"/>
            <w:vAlign w:val="center"/>
          </w:tcPr>
          <w:p w14:paraId="40898D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color w:val="000000"/>
                <w:kern w:val="0"/>
                <w:sz w:val="21"/>
                <w:szCs w:val="21"/>
                <w:lang w:eastAsia="zh-CN"/>
              </w:rPr>
            </w:pPr>
          </w:p>
        </w:tc>
        <w:tc>
          <w:tcPr>
            <w:tcW w:w="2436" w:type="pct"/>
            <w:tcBorders>
              <w:left w:val="nil"/>
            </w:tcBorders>
            <w:noWrap w:val="0"/>
            <w:vAlign w:val="center"/>
          </w:tcPr>
          <w:p w14:paraId="7D0CFD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MSC+Detrend+二阶导7点平滑</w:t>
            </w:r>
          </w:p>
        </w:tc>
        <w:tc>
          <w:tcPr>
            <w:tcW w:w="450" w:type="pct"/>
            <w:noWrap w:val="0"/>
            <w:vAlign w:val="center"/>
          </w:tcPr>
          <w:p w14:paraId="254E6D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0.97</w:t>
            </w:r>
          </w:p>
        </w:tc>
        <w:tc>
          <w:tcPr>
            <w:tcW w:w="716" w:type="pct"/>
            <w:noWrap w:val="0"/>
            <w:vAlign w:val="center"/>
          </w:tcPr>
          <w:p w14:paraId="6ED32E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 xml:space="preserve">1.08 </w:t>
            </w:r>
          </w:p>
        </w:tc>
        <w:tc>
          <w:tcPr>
            <w:tcW w:w="581" w:type="pct"/>
            <w:noWrap w:val="0"/>
            <w:vAlign w:val="center"/>
          </w:tcPr>
          <w:p w14:paraId="1688B0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Times New Roman"/>
                <w:b w:val="0"/>
                <w:bCs/>
                <w:sz w:val="21"/>
                <w:szCs w:val="21"/>
                <w:lang w:val="en-US" w:eastAsia="zh-CN"/>
              </w:rPr>
            </w:pPr>
            <w:r>
              <w:rPr>
                <w:rFonts w:hint="eastAsia" w:ascii="Times New Roman" w:hAnsi="Times New Roman" w:eastAsia="楷体" w:cs="Times New Roman"/>
                <w:b w:val="0"/>
                <w:bCs/>
                <w:sz w:val="21"/>
                <w:szCs w:val="21"/>
                <w:lang w:val="en-US" w:eastAsia="zh-CN"/>
              </w:rPr>
              <w:t>1.32</w:t>
            </w:r>
          </w:p>
        </w:tc>
      </w:tr>
    </w:tbl>
    <w:p w14:paraId="7B9C8E4F">
      <w:pPr>
        <w:keepNext w:val="0"/>
        <w:keepLines w:val="0"/>
        <w:pageBreakBefore w:val="0"/>
        <w:widowControl w:val="0"/>
        <w:kinsoku/>
        <w:overflowPunct/>
        <w:topLinePunct w:val="0"/>
        <w:bidi w:val="0"/>
        <w:adjustRightInd/>
        <w:spacing w:line="360" w:lineRule="auto"/>
        <w:jc w:val="both"/>
        <w:textAlignment w:val="auto"/>
        <w:rPr>
          <w:rFonts w:hint="eastAsia" w:ascii="Times New Roman" w:hAnsi="Times New Roman" w:eastAsia="宋体"/>
          <w:color w:val="000000"/>
          <w:lang w:eastAsia="zh-CN"/>
        </w:rPr>
      </w:pPr>
      <w:r>
        <w:rPr>
          <w:rFonts w:ascii="Times New Roman" w:hAnsi="Times New Roman"/>
        </w:rPr>
        <w:drawing>
          <wp:inline distT="0" distB="0" distL="114300" distR="114300">
            <wp:extent cx="2620645" cy="1746885"/>
            <wp:effectExtent l="0" t="0" r="8255" b="5715"/>
            <wp:docPr id="43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 name="图片 1"/>
                    <pic:cNvPicPr>
                      <a:picLocks noChangeAspect="1"/>
                    </pic:cNvPicPr>
                  </pic:nvPicPr>
                  <pic:blipFill>
                    <a:blip r:embed="rId17"/>
                    <a:stretch>
                      <a:fillRect/>
                    </a:stretch>
                  </pic:blipFill>
                  <pic:spPr>
                    <a:xfrm>
                      <a:off x="0" y="0"/>
                      <a:ext cx="2620645" cy="1746885"/>
                    </a:xfrm>
                    <a:prstGeom prst="rect">
                      <a:avLst/>
                    </a:prstGeom>
                    <a:noFill/>
                    <a:ln w="9525">
                      <a:noFill/>
                    </a:ln>
                  </pic:spPr>
                </pic:pic>
              </a:graphicData>
            </a:graphic>
          </wp:inline>
        </w:drawing>
      </w:r>
      <w:r>
        <w:rPr>
          <w:rFonts w:hint="eastAsia" w:ascii="Times New Roman" w:hAnsi="Times New Roman"/>
          <w:lang w:val="en-US" w:eastAsia="zh-CN"/>
        </w:rPr>
        <w:t xml:space="preserve">     </w:t>
      </w:r>
      <w:r>
        <w:rPr>
          <w:rFonts w:ascii="Times New Roman" w:hAnsi="Times New Roman"/>
        </w:rPr>
        <w:drawing>
          <wp:inline distT="0" distB="0" distL="114300" distR="114300">
            <wp:extent cx="2613025" cy="1746250"/>
            <wp:effectExtent l="0" t="0" r="15875" b="6350"/>
            <wp:docPr id="43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 name="图片 2"/>
                    <pic:cNvPicPr>
                      <a:picLocks noChangeAspect="1"/>
                    </pic:cNvPicPr>
                  </pic:nvPicPr>
                  <pic:blipFill>
                    <a:blip r:embed="rId18"/>
                    <a:stretch>
                      <a:fillRect/>
                    </a:stretch>
                  </pic:blipFill>
                  <pic:spPr>
                    <a:xfrm>
                      <a:off x="0" y="0"/>
                      <a:ext cx="2613025" cy="1746250"/>
                    </a:xfrm>
                    <a:prstGeom prst="rect">
                      <a:avLst/>
                    </a:prstGeom>
                    <a:noFill/>
                    <a:ln w="9525">
                      <a:noFill/>
                    </a:ln>
                  </pic:spPr>
                </pic:pic>
              </a:graphicData>
            </a:graphic>
          </wp:inline>
        </w:drawing>
      </w:r>
    </w:p>
    <w:p w14:paraId="366D25E2">
      <w:pPr>
        <w:pStyle w:val="2"/>
        <w:ind w:left="0" w:leftChars="0" w:firstLine="1265" w:firstLineChars="600"/>
        <w:jc w:val="both"/>
        <w:rPr>
          <w:rFonts w:hint="eastAsia" w:ascii="Times New Roman" w:hAnsi="Times New Roman" w:eastAsia="楷体" w:cs="Times New Roman"/>
          <w:b/>
          <w:kern w:val="2"/>
          <w:sz w:val="21"/>
          <w:szCs w:val="21"/>
          <w:lang w:val="en-US" w:eastAsia="zh-CN" w:bidi="ar-SA"/>
        </w:rPr>
      </w:pPr>
      <w:r>
        <w:rPr>
          <w:rFonts w:hint="eastAsia" w:ascii="Times New Roman" w:hAnsi="Times New Roman" w:eastAsia="楷体" w:cs="Times New Roman"/>
          <w:b/>
          <w:kern w:val="2"/>
          <w:sz w:val="21"/>
          <w:szCs w:val="21"/>
          <w:lang w:val="en-US" w:eastAsia="zh-CN" w:bidi="ar-SA"/>
        </w:rPr>
        <w:t>a.原始光谱                                      b.SG1（15点平滑）</w:t>
      </w:r>
    </w:p>
    <w:p w14:paraId="36176CB0">
      <w:pPr>
        <w:pStyle w:val="2"/>
        <w:ind w:left="0" w:leftChars="0" w:firstLine="0" w:firstLineChars="0"/>
        <w:jc w:val="both"/>
        <w:rPr>
          <w:rFonts w:ascii="Times New Roman" w:hAnsi="Times New Roman"/>
        </w:rPr>
      </w:pPr>
      <w:r>
        <w:rPr>
          <w:rFonts w:ascii="Times New Roman" w:hAnsi="Times New Roman"/>
        </w:rPr>
        <w:drawing>
          <wp:inline distT="0" distB="0" distL="114300" distR="114300">
            <wp:extent cx="2528570" cy="1692910"/>
            <wp:effectExtent l="0" t="0" r="5080" b="2540"/>
            <wp:docPr id="43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7" name="图片 3"/>
                    <pic:cNvPicPr>
                      <a:picLocks noChangeAspect="1"/>
                    </pic:cNvPicPr>
                  </pic:nvPicPr>
                  <pic:blipFill>
                    <a:blip r:embed="rId19"/>
                    <a:stretch>
                      <a:fillRect/>
                    </a:stretch>
                  </pic:blipFill>
                  <pic:spPr>
                    <a:xfrm>
                      <a:off x="0" y="0"/>
                      <a:ext cx="2528570" cy="1692910"/>
                    </a:xfrm>
                    <a:prstGeom prst="rect">
                      <a:avLst/>
                    </a:prstGeom>
                    <a:noFill/>
                    <a:ln w="9525">
                      <a:noFill/>
                    </a:ln>
                  </pic:spPr>
                </pic:pic>
              </a:graphicData>
            </a:graphic>
          </wp:inline>
        </w:drawing>
      </w:r>
      <w:r>
        <w:rPr>
          <w:rFonts w:hint="eastAsia" w:ascii="Times New Roman" w:hAnsi="Times New Roman"/>
          <w:lang w:val="en-US" w:eastAsia="zh-CN"/>
        </w:rPr>
        <w:t xml:space="preserve">   </w:t>
      </w:r>
      <w:r>
        <w:rPr>
          <w:rFonts w:ascii="Times New Roman" w:hAnsi="Times New Roman"/>
        </w:rPr>
        <w:drawing>
          <wp:inline distT="0" distB="0" distL="114300" distR="114300">
            <wp:extent cx="2496185" cy="1671955"/>
            <wp:effectExtent l="0" t="0" r="18415" b="4445"/>
            <wp:docPr id="43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 name="图片 4"/>
                    <pic:cNvPicPr>
                      <a:picLocks noChangeAspect="1"/>
                    </pic:cNvPicPr>
                  </pic:nvPicPr>
                  <pic:blipFill>
                    <a:blip r:embed="rId20"/>
                    <a:stretch>
                      <a:fillRect/>
                    </a:stretch>
                  </pic:blipFill>
                  <pic:spPr>
                    <a:xfrm>
                      <a:off x="0" y="0"/>
                      <a:ext cx="2496185" cy="1671955"/>
                    </a:xfrm>
                    <a:prstGeom prst="rect">
                      <a:avLst/>
                    </a:prstGeom>
                    <a:noFill/>
                    <a:ln w="9525">
                      <a:noFill/>
                    </a:ln>
                  </pic:spPr>
                </pic:pic>
              </a:graphicData>
            </a:graphic>
          </wp:inline>
        </w:drawing>
      </w:r>
    </w:p>
    <w:p w14:paraId="24EF81EB">
      <w:pPr>
        <w:pStyle w:val="2"/>
        <w:ind w:left="0" w:leftChars="0" w:firstLine="1687" w:firstLineChars="800"/>
        <w:jc w:val="both"/>
        <w:rPr>
          <w:rFonts w:hint="default" w:ascii="Times New Roman" w:hAnsi="Times New Roman" w:eastAsia="楷体"/>
          <w:b/>
          <w:szCs w:val="21"/>
          <w:lang w:val="en-US"/>
        </w:rPr>
      </w:pPr>
      <w:r>
        <w:rPr>
          <w:rFonts w:hint="eastAsia" w:ascii="Times New Roman" w:hAnsi="Times New Roman" w:eastAsia="楷体" w:cs="Times New Roman"/>
          <w:b/>
          <w:kern w:val="2"/>
          <w:sz w:val="21"/>
          <w:szCs w:val="21"/>
          <w:lang w:val="en-US" w:eastAsia="zh-CN" w:bidi="ar-SA"/>
        </w:rPr>
        <w:t>c.SNV                                      d.Detrend</w:t>
      </w:r>
    </w:p>
    <w:p w14:paraId="1C97C9EF">
      <w:pPr>
        <w:keepNext w:val="0"/>
        <w:keepLines w:val="0"/>
        <w:pageBreakBefore w:val="0"/>
        <w:widowControl w:val="0"/>
        <w:kinsoku/>
        <w:overflowPunct/>
        <w:topLinePunct w:val="0"/>
        <w:bidi w:val="0"/>
        <w:adjustRightInd/>
        <w:spacing w:line="360" w:lineRule="auto"/>
        <w:jc w:val="center"/>
        <w:textAlignment w:val="auto"/>
        <w:rPr>
          <w:rFonts w:hint="eastAsia" w:ascii="Times New Roman" w:hAnsi="Times New Roman" w:eastAsia="楷体"/>
          <w:b w:val="0"/>
          <w:bCs/>
          <w:szCs w:val="21"/>
          <w:lang w:val="en-US" w:eastAsia="zh-CN"/>
        </w:rPr>
      </w:pPr>
      <w:r>
        <w:rPr>
          <w:rFonts w:hint="eastAsia" w:ascii="Times New Roman" w:hAnsi="Times New Roman" w:eastAsia="楷体"/>
          <w:b w:val="0"/>
          <w:bCs/>
          <w:szCs w:val="21"/>
        </w:rPr>
        <w:t>图2</w:t>
      </w:r>
      <w:r>
        <w:rPr>
          <w:rFonts w:hint="eastAsia" w:ascii="Times New Roman" w:hAnsi="Times New Roman" w:eastAsia="楷体"/>
          <w:b w:val="0"/>
          <w:bCs/>
          <w:szCs w:val="21"/>
          <w:lang w:val="en-US" w:eastAsia="zh-CN"/>
        </w:rPr>
        <w:t xml:space="preserve"> </w:t>
      </w:r>
      <w:r>
        <w:rPr>
          <w:rFonts w:hint="eastAsia" w:ascii="Times New Roman" w:hAnsi="Times New Roman" w:eastAsia="楷体"/>
          <w:b w:val="0"/>
          <w:bCs/>
          <w:szCs w:val="21"/>
          <w:lang w:eastAsia="zh-CN"/>
        </w:rPr>
        <w:t>大米样品原始光谱图及经不同预处理后的光谱图（进口设备）</w:t>
      </w:r>
    </w:p>
    <w:p w14:paraId="51759A73">
      <w:pPr>
        <w:keepNext w:val="0"/>
        <w:keepLines w:val="0"/>
        <w:pageBreakBefore w:val="0"/>
        <w:widowControl w:val="0"/>
        <w:kinsoku/>
        <w:overflowPunct/>
        <w:topLinePunct w:val="0"/>
        <w:bidi w:val="0"/>
        <w:adjustRightInd/>
        <w:spacing w:line="360" w:lineRule="auto"/>
        <w:jc w:val="both"/>
        <w:textAlignment w:val="auto"/>
        <w:rPr>
          <w:rFonts w:hint="eastAsia" w:ascii="Times New Roman" w:hAnsi="Times New Roman" w:eastAsia="宋体"/>
          <w:color w:val="000000"/>
          <w:lang w:eastAsia="zh-CN"/>
        </w:rPr>
      </w:pPr>
      <w:r>
        <w:rPr>
          <w:rFonts w:ascii="Times New Roman" w:hAnsi="Times New Roman"/>
        </w:rPr>
        <w:drawing>
          <wp:inline distT="0" distB="0" distL="114300" distR="114300">
            <wp:extent cx="2543810" cy="1741170"/>
            <wp:effectExtent l="0" t="0" r="8890" b="11430"/>
            <wp:docPr id="43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 name="图片 5"/>
                    <pic:cNvPicPr>
                      <a:picLocks noChangeAspect="1"/>
                    </pic:cNvPicPr>
                  </pic:nvPicPr>
                  <pic:blipFill>
                    <a:blip r:embed="rId21"/>
                    <a:stretch>
                      <a:fillRect/>
                    </a:stretch>
                  </pic:blipFill>
                  <pic:spPr>
                    <a:xfrm>
                      <a:off x="0" y="0"/>
                      <a:ext cx="2543810" cy="1741170"/>
                    </a:xfrm>
                    <a:prstGeom prst="rect">
                      <a:avLst/>
                    </a:prstGeom>
                    <a:noFill/>
                    <a:ln w="9525">
                      <a:noFill/>
                    </a:ln>
                  </pic:spPr>
                </pic:pic>
              </a:graphicData>
            </a:graphic>
          </wp:inline>
        </w:drawing>
      </w:r>
      <w:r>
        <w:rPr>
          <w:rFonts w:hint="eastAsia" w:ascii="Times New Roman" w:hAnsi="Times New Roman"/>
          <w:lang w:val="en-US" w:eastAsia="zh-CN"/>
        </w:rPr>
        <w:t xml:space="preserve">     </w:t>
      </w:r>
      <w:r>
        <w:rPr>
          <w:rFonts w:ascii="Times New Roman" w:hAnsi="Times New Roman"/>
        </w:rPr>
        <w:drawing>
          <wp:inline distT="0" distB="0" distL="114300" distR="114300">
            <wp:extent cx="2415540" cy="1695450"/>
            <wp:effectExtent l="0" t="0" r="3810" b="0"/>
            <wp:docPr id="43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 name="图片 7"/>
                    <pic:cNvPicPr>
                      <a:picLocks noChangeAspect="1"/>
                    </pic:cNvPicPr>
                  </pic:nvPicPr>
                  <pic:blipFill>
                    <a:blip r:embed="rId22"/>
                    <a:stretch>
                      <a:fillRect/>
                    </a:stretch>
                  </pic:blipFill>
                  <pic:spPr>
                    <a:xfrm>
                      <a:off x="0" y="0"/>
                      <a:ext cx="2415540" cy="1695450"/>
                    </a:xfrm>
                    <a:prstGeom prst="rect">
                      <a:avLst/>
                    </a:prstGeom>
                    <a:noFill/>
                    <a:ln w="9525">
                      <a:noFill/>
                    </a:ln>
                  </pic:spPr>
                </pic:pic>
              </a:graphicData>
            </a:graphic>
          </wp:inline>
        </w:drawing>
      </w:r>
    </w:p>
    <w:p w14:paraId="75E47285">
      <w:pPr>
        <w:pStyle w:val="2"/>
        <w:ind w:left="0" w:leftChars="0" w:firstLine="1265" w:firstLineChars="600"/>
        <w:jc w:val="both"/>
        <w:rPr>
          <w:rFonts w:hint="default" w:ascii="Times New Roman" w:hAnsi="Times New Roman" w:eastAsia="楷体" w:cs="Times New Roman"/>
          <w:b/>
          <w:kern w:val="2"/>
          <w:sz w:val="21"/>
          <w:szCs w:val="21"/>
          <w:lang w:val="en-US" w:eastAsia="zh-CN" w:bidi="ar-SA"/>
        </w:rPr>
      </w:pPr>
      <w:r>
        <w:rPr>
          <w:rFonts w:hint="eastAsia" w:ascii="Times New Roman" w:hAnsi="Times New Roman" w:eastAsia="楷体" w:cs="Times New Roman"/>
          <w:b/>
          <w:kern w:val="2"/>
          <w:sz w:val="21"/>
          <w:szCs w:val="21"/>
          <w:lang w:val="en-US" w:eastAsia="zh-CN" w:bidi="ar-SA"/>
        </w:rPr>
        <w:t>a.原始光谱                                      b.SNV</w:t>
      </w:r>
    </w:p>
    <w:p w14:paraId="4A34EF1B">
      <w:pPr>
        <w:pStyle w:val="2"/>
        <w:ind w:left="0" w:leftChars="0" w:firstLine="0" w:firstLineChars="0"/>
        <w:jc w:val="both"/>
        <w:rPr>
          <w:rFonts w:ascii="Times New Roman" w:hAnsi="Times New Roman"/>
        </w:rPr>
      </w:pPr>
      <w:r>
        <w:rPr>
          <w:rFonts w:ascii="Times New Roman" w:hAnsi="Times New Roman"/>
        </w:rPr>
        <w:drawing>
          <wp:inline distT="0" distB="0" distL="114300" distR="114300">
            <wp:extent cx="2561590" cy="1743710"/>
            <wp:effectExtent l="0" t="0" r="10160" b="8890"/>
            <wp:docPr id="43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 name="图片 8"/>
                    <pic:cNvPicPr>
                      <a:picLocks noChangeAspect="1"/>
                    </pic:cNvPicPr>
                  </pic:nvPicPr>
                  <pic:blipFill>
                    <a:blip r:embed="rId23"/>
                    <a:stretch>
                      <a:fillRect/>
                    </a:stretch>
                  </pic:blipFill>
                  <pic:spPr>
                    <a:xfrm>
                      <a:off x="0" y="0"/>
                      <a:ext cx="2561590" cy="1743710"/>
                    </a:xfrm>
                    <a:prstGeom prst="rect">
                      <a:avLst/>
                    </a:prstGeom>
                    <a:noFill/>
                    <a:ln w="9525">
                      <a:noFill/>
                    </a:ln>
                  </pic:spPr>
                </pic:pic>
              </a:graphicData>
            </a:graphic>
          </wp:inline>
        </w:drawing>
      </w:r>
      <w:r>
        <w:rPr>
          <w:rFonts w:hint="eastAsia" w:ascii="Times New Roman" w:hAnsi="Times New Roman"/>
          <w:lang w:val="en-US" w:eastAsia="zh-CN"/>
        </w:rPr>
        <w:t xml:space="preserve">    </w:t>
      </w:r>
      <w:r>
        <w:rPr>
          <w:rFonts w:ascii="Times New Roman" w:hAnsi="Times New Roman"/>
        </w:rPr>
        <w:drawing>
          <wp:inline distT="0" distB="0" distL="114300" distR="114300">
            <wp:extent cx="2527935" cy="1825625"/>
            <wp:effectExtent l="0" t="0" r="5715" b="3175"/>
            <wp:docPr id="43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 name="图片 9"/>
                    <pic:cNvPicPr>
                      <a:picLocks noChangeAspect="1"/>
                    </pic:cNvPicPr>
                  </pic:nvPicPr>
                  <pic:blipFill>
                    <a:blip r:embed="rId24"/>
                    <a:stretch>
                      <a:fillRect/>
                    </a:stretch>
                  </pic:blipFill>
                  <pic:spPr>
                    <a:xfrm>
                      <a:off x="0" y="0"/>
                      <a:ext cx="2527935" cy="1825625"/>
                    </a:xfrm>
                    <a:prstGeom prst="rect">
                      <a:avLst/>
                    </a:prstGeom>
                    <a:noFill/>
                    <a:ln w="9525">
                      <a:noFill/>
                    </a:ln>
                  </pic:spPr>
                </pic:pic>
              </a:graphicData>
            </a:graphic>
          </wp:inline>
        </w:drawing>
      </w:r>
    </w:p>
    <w:p w14:paraId="3BD9B261">
      <w:pPr>
        <w:pStyle w:val="2"/>
        <w:ind w:left="0" w:leftChars="0" w:firstLine="1687" w:firstLineChars="800"/>
        <w:jc w:val="both"/>
        <w:rPr>
          <w:rFonts w:hint="default" w:ascii="Times New Roman" w:hAnsi="Times New Roman" w:eastAsia="楷体"/>
          <w:b/>
          <w:szCs w:val="21"/>
          <w:lang w:val="en-US"/>
        </w:rPr>
      </w:pPr>
      <w:r>
        <w:rPr>
          <w:rFonts w:hint="eastAsia" w:ascii="Times New Roman" w:hAnsi="Times New Roman" w:eastAsia="楷体" w:cs="Times New Roman"/>
          <w:b/>
          <w:kern w:val="2"/>
          <w:sz w:val="21"/>
          <w:szCs w:val="21"/>
          <w:lang w:val="en-US" w:eastAsia="zh-CN" w:bidi="ar-SA"/>
        </w:rPr>
        <w:t>c.Detrend                                  d.SG1（7点平滑）</w:t>
      </w:r>
    </w:p>
    <w:p w14:paraId="2A1B2D51">
      <w:pPr>
        <w:keepNext w:val="0"/>
        <w:keepLines w:val="0"/>
        <w:pageBreakBefore w:val="0"/>
        <w:widowControl w:val="0"/>
        <w:kinsoku/>
        <w:overflowPunct/>
        <w:topLinePunct w:val="0"/>
        <w:bidi w:val="0"/>
        <w:adjustRightInd/>
        <w:spacing w:line="360" w:lineRule="auto"/>
        <w:jc w:val="center"/>
        <w:textAlignment w:val="auto"/>
        <w:rPr>
          <w:rFonts w:hint="eastAsia" w:ascii="Times New Roman" w:hAnsi="Times New Roman" w:eastAsia="楷体"/>
          <w:b w:val="0"/>
          <w:bCs/>
          <w:szCs w:val="21"/>
          <w:lang w:val="en-US" w:eastAsia="zh-CN"/>
        </w:rPr>
      </w:pPr>
      <w:r>
        <w:rPr>
          <w:rFonts w:hint="eastAsia" w:ascii="Times New Roman" w:hAnsi="Times New Roman" w:eastAsia="楷体"/>
          <w:b w:val="0"/>
          <w:bCs/>
          <w:szCs w:val="21"/>
        </w:rPr>
        <w:t>图</w:t>
      </w:r>
      <w:r>
        <w:rPr>
          <w:rFonts w:hint="eastAsia" w:ascii="Times New Roman" w:hAnsi="Times New Roman" w:eastAsia="楷体"/>
          <w:b w:val="0"/>
          <w:bCs/>
          <w:szCs w:val="21"/>
          <w:lang w:val="en-US" w:eastAsia="zh-CN"/>
        </w:rPr>
        <w:t xml:space="preserve">3 </w:t>
      </w:r>
      <w:r>
        <w:rPr>
          <w:rFonts w:hint="eastAsia" w:ascii="Times New Roman" w:hAnsi="Times New Roman" w:eastAsia="楷体"/>
          <w:b w:val="0"/>
          <w:bCs/>
          <w:szCs w:val="21"/>
          <w:lang w:eastAsia="zh-CN"/>
        </w:rPr>
        <w:t>大米样品原始光谱图及经不同预处理后的光谱图（国产设备）</w:t>
      </w:r>
    </w:p>
    <w:p w14:paraId="14B2E551">
      <w:pPr>
        <w:keepNext w:val="0"/>
        <w:keepLines w:val="0"/>
        <w:pageBreakBefore w:val="0"/>
        <w:widowControl w:val="0"/>
        <w:kinsoku/>
        <w:overflowPunct/>
        <w:topLinePunct w:val="0"/>
        <w:autoSpaceDE/>
        <w:autoSpaceDN/>
        <w:bidi w:val="0"/>
        <w:adjustRightInd/>
        <w:spacing w:line="360" w:lineRule="auto"/>
        <w:ind w:firstLine="704" w:firstLineChars="220"/>
        <w:textAlignment w:val="auto"/>
        <w:rPr>
          <w:rFonts w:hint="eastAsia" w:ascii="Times New Roman" w:hAnsi="Times New Roman" w:eastAsia="仿宋_GB2312" w:cs="仿宋_GB2312"/>
          <w:color w:val="000000" w:themeColor="text1"/>
          <w:sz w:val="32"/>
          <w:szCs w:val="32"/>
          <w:lang w:val="en-US" w:eastAsia="zh-CN"/>
          <w14:textFill>
            <w14:solidFill>
              <w14:schemeClr w14:val="tx1"/>
            </w14:solidFill>
          </w14:textFill>
        </w:rPr>
      </w:pPr>
    </w:p>
    <w:p w14:paraId="5B86AE33">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2.定标模型的建立</w:t>
      </w:r>
    </w:p>
    <w:p w14:paraId="76C8A571">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模型建立过程中，可用</w:t>
      </w:r>
      <w:r>
        <w:rPr>
          <w:rFonts w:hint="eastAsia" w:ascii="Times New Roman" w:hAnsi="Times New Roman" w:eastAsia="仿宋_GB2312" w:cs="仿宋_GB2312"/>
          <w:i/>
          <w:iCs/>
          <w:color w:val="000000" w:themeColor="text1"/>
          <w:sz w:val="32"/>
          <w:szCs w:val="32"/>
          <w:lang w:val="en-US" w:eastAsia="zh-CN" w:bidi="ar"/>
          <w14:textFill>
            <w14:solidFill>
              <w14:schemeClr w14:val="tx1"/>
            </w14:solidFill>
          </w14:textFill>
        </w:rPr>
        <w:t>R</w:t>
      </w:r>
      <w:r>
        <w:rPr>
          <w:rFonts w:hint="eastAsia" w:ascii="Times New Roman" w:hAnsi="Times New Roman" w:eastAsia="仿宋_GB2312" w:cs="仿宋_GB2312"/>
          <w:i/>
          <w:iCs/>
          <w:color w:val="000000" w:themeColor="text1"/>
          <w:sz w:val="32"/>
          <w:szCs w:val="32"/>
          <w:vertAlign w:val="subscript"/>
          <w:lang w:val="en-US" w:eastAsia="zh-CN" w:bidi="ar"/>
          <w14:textFill>
            <w14:solidFill>
              <w14:schemeClr w14:val="tx1"/>
            </w14:solidFill>
          </w14:textFill>
        </w:rPr>
        <w:t>e</w:t>
      </w:r>
      <w:r>
        <w:rPr>
          <w:rFonts w:hint="eastAsia" w:ascii="Times New Roman" w:hAnsi="Times New Roman" w:eastAsia="仿宋_GB2312" w:cs="仿宋_GB2312"/>
          <w:i/>
          <w:iCs/>
          <w:color w:val="000000" w:themeColor="text1"/>
          <w:sz w:val="32"/>
          <w:szCs w:val="32"/>
          <w:lang w:val="en-US" w:eastAsia="zh-CN" w:bidi="ar"/>
          <w14:textFill>
            <w14:solidFill>
              <w14:schemeClr w14:val="tx1"/>
            </w14:solidFill>
          </w14:textFill>
        </w:rPr>
        <w:t>²、SEC和SECV</w:t>
      </w: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等指标对模型的质量进行评价，</w:t>
      </w:r>
      <w:r>
        <w:rPr>
          <w:rFonts w:hint="eastAsia" w:ascii="Times New Roman" w:hAnsi="Times New Roman" w:eastAsia="仿宋_GB2312" w:cs="仿宋_GB2312"/>
          <w:i/>
          <w:iCs/>
          <w:color w:val="000000" w:themeColor="text1"/>
          <w:sz w:val="32"/>
          <w:szCs w:val="32"/>
          <w:lang w:val="en-US" w:eastAsia="zh-CN" w:bidi="ar"/>
          <w14:textFill>
            <w14:solidFill>
              <w14:schemeClr w14:val="tx1"/>
            </w14:solidFill>
          </w14:textFill>
        </w:rPr>
        <w:t>R</w:t>
      </w:r>
      <w:r>
        <w:rPr>
          <w:rFonts w:hint="eastAsia" w:ascii="Times New Roman" w:hAnsi="Times New Roman" w:eastAsia="仿宋_GB2312" w:cs="仿宋_GB2312"/>
          <w:i/>
          <w:iCs/>
          <w:color w:val="000000" w:themeColor="text1"/>
          <w:sz w:val="32"/>
          <w:szCs w:val="32"/>
          <w:vertAlign w:val="subscript"/>
          <w:lang w:val="en-US" w:eastAsia="zh-CN" w:bidi="ar"/>
          <w14:textFill>
            <w14:solidFill>
              <w14:schemeClr w14:val="tx1"/>
            </w14:solidFill>
          </w14:textFill>
        </w:rPr>
        <w:t>e</w:t>
      </w:r>
      <w:r>
        <w:rPr>
          <w:rFonts w:hint="eastAsia" w:ascii="Times New Roman" w:hAnsi="Times New Roman" w:eastAsia="仿宋_GB2312" w:cs="仿宋_GB2312"/>
          <w:i/>
          <w:iCs/>
          <w:color w:val="000000" w:themeColor="text1"/>
          <w:sz w:val="32"/>
          <w:szCs w:val="32"/>
          <w:lang w:val="en-US" w:eastAsia="zh-CN" w:bidi="ar"/>
          <w14:textFill>
            <w14:solidFill>
              <w14:schemeClr w14:val="tx1"/>
            </w14:solidFill>
          </w14:textFill>
        </w:rPr>
        <w:t>²</w:t>
      </w: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越接近1、</w:t>
      </w:r>
      <w:r>
        <w:rPr>
          <w:rFonts w:hint="eastAsia" w:ascii="Times New Roman" w:hAnsi="Times New Roman" w:eastAsia="仿宋_GB2312" w:cs="仿宋_GB2312"/>
          <w:i/>
          <w:iCs/>
          <w:color w:val="000000" w:themeColor="text1"/>
          <w:sz w:val="32"/>
          <w:szCs w:val="32"/>
          <w:lang w:val="en-US" w:eastAsia="zh-CN" w:bidi="ar"/>
          <w14:textFill>
            <w14:solidFill>
              <w14:schemeClr w14:val="tx1"/>
            </w14:solidFill>
          </w14:textFill>
        </w:rPr>
        <w:t>SECV</w:t>
      </w: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越小，表明模型回归得越好。本标准按最优预处理方法校正集样品光谱数据进行预处理，采用PLS建立定标模型，模型参数见表3；使用软件对建立的模型进行内部交互验证，结果见图4、5。从表3可知，进口设备和国产设备的校正</w:t>
      </w:r>
      <w:r>
        <w:rPr>
          <w:rFonts w:hint="eastAsia" w:ascii="Times New Roman" w:hAnsi="Times New Roman" w:eastAsia="仿宋_GB2312" w:cs="仿宋_GB2312"/>
          <w:i w:val="0"/>
          <w:iCs w:val="0"/>
          <w:color w:val="000000" w:themeColor="text1"/>
          <w:sz w:val="32"/>
          <w:szCs w:val="32"/>
          <w:lang w:val="en-US" w:eastAsia="zh-CN" w:bidi="ar"/>
          <w14:textFill>
            <w14:solidFill>
              <w14:schemeClr w14:val="tx1"/>
            </w14:solidFill>
          </w14:textFill>
        </w:rPr>
        <w:t>集</w:t>
      </w:r>
      <w:r>
        <w:rPr>
          <w:rFonts w:hint="eastAsia" w:ascii="Times New Roman" w:hAnsi="Times New Roman" w:eastAsia="仿宋_GB2312" w:cs="仿宋_GB2312"/>
          <w:i/>
          <w:iCs/>
          <w:color w:val="000000" w:themeColor="text1"/>
          <w:sz w:val="32"/>
          <w:szCs w:val="32"/>
          <w:lang w:val="en-US" w:eastAsia="zh-CN" w:bidi="ar"/>
          <w14:textFill>
            <w14:solidFill>
              <w14:schemeClr w14:val="tx1"/>
            </w14:solidFill>
          </w14:textFill>
        </w:rPr>
        <w:t>R</w:t>
      </w:r>
      <w:r>
        <w:rPr>
          <w:rFonts w:hint="eastAsia" w:ascii="Times New Roman" w:hAnsi="Times New Roman" w:eastAsia="仿宋_GB2312" w:cs="仿宋_GB2312"/>
          <w:i/>
          <w:iCs/>
          <w:color w:val="000000" w:themeColor="text1"/>
          <w:sz w:val="32"/>
          <w:szCs w:val="32"/>
          <w:vertAlign w:val="subscript"/>
          <w:lang w:val="en-US" w:eastAsia="zh-CN" w:bidi="ar"/>
          <w14:textFill>
            <w14:solidFill>
              <w14:schemeClr w14:val="tx1"/>
            </w14:solidFill>
          </w14:textFill>
        </w:rPr>
        <w:t>e</w:t>
      </w:r>
      <w:r>
        <w:rPr>
          <w:rFonts w:hint="eastAsia" w:ascii="Times New Roman" w:hAnsi="Times New Roman" w:eastAsia="仿宋_GB2312" w:cs="仿宋_GB2312"/>
          <w:i/>
          <w:iCs/>
          <w:color w:val="000000" w:themeColor="text1"/>
          <w:sz w:val="32"/>
          <w:szCs w:val="32"/>
          <w:lang w:val="en-US" w:eastAsia="zh-CN" w:bidi="ar"/>
          <w14:textFill>
            <w14:solidFill>
              <w14:schemeClr w14:val="tx1"/>
            </w14:solidFill>
          </w14:textFill>
        </w:rPr>
        <w:t>²</w:t>
      </w: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分别为0.964、0.974，</w:t>
      </w:r>
      <w:r>
        <w:rPr>
          <w:rFonts w:hint="eastAsia" w:ascii="Times New Roman" w:hAnsi="Times New Roman" w:eastAsia="仿宋_GB2312" w:cs="仿宋_GB2312"/>
          <w:i/>
          <w:iCs/>
          <w:color w:val="000000" w:themeColor="text1"/>
          <w:sz w:val="32"/>
          <w:szCs w:val="32"/>
          <w:lang w:val="en-US" w:eastAsia="zh-CN" w:bidi="ar"/>
          <w14:textFill>
            <w14:solidFill>
              <w14:schemeClr w14:val="tx1"/>
            </w14:solidFill>
          </w14:textFill>
        </w:rPr>
        <w:t>SEC</w:t>
      </w: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分别为1.05、1.04，</w:t>
      </w:r>
      <w:r>
        <w:rPr>
          <w:rFonts w:hint="eastAsia" w:ascii="Times New Roman" w:hAnsi="Times New Roman" w:eastAsia="仿宋_GB2312" w:cs="仿宋_GB2312"/>
          <w:i/>
          <w:iCs/>
          <w:color w:val="000000" w:themeColor="text1"/>
          <w:sz w:val="32"/>
          <w:szCs w:val="32"/>
          <w:lang w:val="en-US" w:eastAsia="zh-CN" w:bidi="ar"/>
          <w14:textFill>
            <w14:solidFill>
              <w14:schemeClr w14:val="tx1"/>
            </w14:solidFill>
          </w14:textFill>
        </w:rPr>
        <w:t>SECV</w:t>
      </w: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分别为1.21、1.12，且从图4、5可直观地看出内部交互验证结果偏离不大，说明不论是进口设备还是国产设备，所建立的模型性能良好。</w:t>
      </w:r>
    </w:p>
    <w:p w14:paraId="7357CA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b w:val="0"/>
          <w:bCs/>
          <w:szCs w:val="21"/>
          <w:lang w:eastAsia="zh-CN"/>
        </w:rPr>
      </w:pPr>
      <w:r>
        <w:rPr>
          <w:rFonts w:hint="eastAsia" w:ascii="Times New Roman" w:hAnsi="Times New Roman" w:eastAsia="楷体"/>
          <w:b w:val="0"/>
          <w:bCs/>
          <w:szCs w:val="21"/>
        </w:rPr>
        <w:t>表</w:t>
      </w:r>
      <w:r>
        <w:rPr>
          <w:rFonts w:hint="eastAsia" w:ascii="Times New Roman" w:hAnsi="Times New Roman" w:eastAsia="楷体"/>
          <w:b w:val="0"/>
          <w:bCs/>
          <w:szCs w:val="21"/>
          <w:lang w:val="en-US" w:eastAsia="zh-CN"/>
        </w:rPr>
        <w:t xml:space="preserve">3 </w:t>
      </w:r>
      <w:r>
        <w:rPr>
          <w:rFonts w:hint="eastAsia" w:ascii="Times New Roman" w:hAnsi="Times New Roman" w:eastAsia="楷体"/>
          <w:b w:val="0"/>
          <w:bCs/>
          <w:szCs w:val="21"/>
          <w:lang w:eastAsia="zh-CN"/>
        </w:rPr>
        <w:t>定标模型参数</w:t>
      </w:r>
    </w:p>
    <w:tbl>
      <w:tblPr>
        <w:tblStyle w:val="9"/>
        <w:tblW w:w="4997" w:type="pct"/>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81"/>
        <w:gridCol w:w="2119"/>
        <w:gridCol w:w="1610"/>
        <w:gridCol w:w="1566"/>
        <w:gridCol w:w="836"/>
        <w:gridCol w:w="730"/>
        <w:gridCol w:w="914"/>
      </w:tblGrid>
      <w:tr w14:paraId="7F351BC3">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707" w:type="pct"/>
            <w:tcBorders>
              <w:bottom w:val="single" w:color="000000" w:sz="6" w:space="0"/>
              <w:right w:val="nil"/>
            </w:tcBorders>
            <w:noWrap w:val="0"/>
            <w:vAlign w:val="center"/>
          </w:tcPr>
          <w:p w14:paraId="7B2132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i w:val="0"/>
                <w:iCs/>
                <w:sz w:val="21"/>
                <w:szCs w:val="21"/>
                <w:lang w:eastAsia="zh-CN"/>
              </w:rPr>
            </w:pPr>
            <w:r>
              <w:rPr>
                <w:rFonts w:hint="eastAsia" w:ascii="Times New Roman" w:hAnsi="Times New Roman" w:eastAsia="楷体_GB2312" w:cs="楷体_GB2312"/>
                <w:i w:val="0"/>
                <w:iCs/>
                <w:color w:val="000000"/>
                <w:kern w:val="0"/>
                <w:sz w:val="21"/>
                <w:szCs w:val="21"/>
                <w:lang w:eastAsia="zh-CN"/>
              </w:rPr>
              <w:t>设备</w:t>
            </w:r>
          </w:p>
        </w:tc>
        <w:tc>
          <w:tcPr>
            <w:tcW w:w="1169" w:type="pct"/>
            <w:tcBorders>
              <w:left w:val="nil"/>
              <w:bottom w:val="single" w:color="000000" w:sz="6" w:space="0"/>
            </w:tcBorders>
            <w:noWrap w:val="0"/>
            <w:vAlign w:val="center"/>
          </w:tcPr>
          <w:p w14:paraId="47D21F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i w:val="0"/>
                <w:iCs/>
                <w:sz w:val="21"/>
                <w:szCs w:val="21"/>
                <w:lang w:eastAsia="zh-CN"/>
              </w:rPr>
            </w:pPr>
            <w:r>
              <w:rPr>
                <w:rFonts w:hint="eastAsia" w:ascii="Times New Roman" w:hAnsi="Times New Roman" w:eastAsia="楷体_GB2312" w:cs="楷体_GB2312"/>
                <w:i w:val="0"/>
                <w:iCs/>
                <w:color w:val="000000"/>
                <w:kern w:val="0"/>
                <w:sz w:val="21"/>
                <w:szCs w:val="21"/>
                <w:lang w:eastAsia="zh-CN"/>
              </w:rPr>
              <w:t>剔除异常样品</w:t>
            </w:r>
            <w:r>
              <w:rPr>
                <w:rFonts w:hint="eastAsia" w:ascii="Times New Roman" w:hAnsi="Times New Roman" w:eastAsia="楷体_GB2312" w:cs="楷体_GB2312"/>
                <w:i w:val="0"/>
                <w:iCs/>
                <w:kern w:val="0"/>
                <w:sz w:val="21"/>
                <w:szCs w:val="21"/>
                <w:lang w:val="en-US" w:eastAsia="zh-CN"/>
              </w:rPr>
              <w:t>/个</w:t>
            </w:r>
          </w:p>
        </w:tc>
        <w:tc>
          <w:tcPr>
            <w:tcW w:w="888" w:type="pct"/>
            <w:tcBorders>
              <w:bottom w:val="single" w:color="000000" w:sz="6" w:space="0"/>
            </w:tcBorders>
            <w:noWrap w:val="0"/>
            <w:vAlign w:val="center"/>
          </w:tcPr>
          <w:p w14:paraId="2DE82B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i w:val="0"/>
                <w:iCs/>
                <w:sz w:val="21"/>
                <w:szCs w:val="21"/>
                <w:lang w:val="en-US" w:eastAsia="zh-CN"/>
              </w:rPr>
            </w:pPr>
            <w:r>
              <w:rPr>
                <w:rFonts w:hint="eastAsia" w:ascii="Times New Roman" w:hAnsi="Times New Roman" w:eastAsia="楷体_GB2312" w:cs="楷体_GB2312"/>
                <w:i w:val="0"/>
                <w:iCs/>
                <w:kern w:val="0"/>
                <w:sz w:val="21"/>
                <w:szCs w:val="21"/>
                <w:lang w:eastAsia="zh-CN"/>
              </w:rPr>
              <w:t>建模样品</w:t>
            </w:r>
            <w:r>
              <w:rPr>
                <w:rFonts w:hint="eastAsia" w:ascii="Times New Roman" w:hAnsi="Times New Roman" w:eastAsia="楷体_GB2312" w:cs="楷体_GB2312"/>
                <w:i w:val="0"/>
                <w:iCs/>
                <w:kern w:val="0"/>
                <w:sz w:val="21"/>
                <w:szCs w:val="21"/>
                <w:lang w:val="en-US" w:eastAsia="zh-CN"/>
              </w:rPr>
              <w:t>/个</w:t>
            </w:r>
          </w:p>
        </w:tc>
        <w:tc>
          <w:tcPr>
            <w:tcW w:w="864" w:type="pct"/>
            <w:tcBorders>
              <w:bottom w:val="single" w:color="000000" w:sz="6" w:space="0"/>
            </w:tcBorders>
            <w:noWrap w:val="0"/>
            <w:vAlign w:val="center"/>
          </w:tcPr>
          <w:p w14:paraId="040476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i w:val="0"/>
                <w:iCs/>
                <w:sz w:val="21"/>
                <w:szCs w:val="21"/>
                <w:lang w:eastAsia="zh-CN"/>
              </w:rPr>
            </w:pPr>
            <w:r>
              <w:rPr>
                <w:rFonts w:hint="eastAsia" w:ascii="Times New Roman" w:hAnsi="Times New Roman" w:eastAsia="楷体_GB2312" w:cs="楷体_GB2312"/>
                <w:i w:val="0"/>
                <w:iCs/>
                <w:kern w:val="0"/>
                <w:sz w:val="21"/>
                <w:szCs w:val="21"/>
                <w:lang w:eastAsia="zh-CN"/>
              </w:rPr>
              <w:t>校正范围</w:t>
            </w:r>
            <w:r>
              <w:rPr>
                <w:rFonts w:hint="eastAsia" w:ascii="Times New Roman" w:hAnsi="Times New Roman" w:eastAsia="楷体_GB2312" w:cs="楷体_GB2312"/>
                <w:iCs/>
                <w:kern w:val="0"/>
                <w:sz w:val="21"/>
                <w:szCs w:val="21"/>
              </w:rPr>
              <w:t>/</w:t>
            </w:r>
            <w:r>
              <w:rPr>
                <w:rFonts w:hint="eastAsia" w:ascii="Times New Roman" w:hAnsi="Times New Roman" w:eastAsia="楷体_GB2312" w:cs="楷体_GB2312"/>
                <w:iCs/>
                <w:kern w:val="0"/>
                <w:sz w:val="21"/>
                <w:szCs w:val="21"/>
                <w:lang w:val="en-US" w:eastAsia="zh-CN"/>
              </w:rPr>
              <w:t>%</w:t>
            </w:r>
          </w:p>
        </w:tc>
        <w:tc>
          <w:tcPr>
            <w:tcW w:w="461" w:type="pct"/>
            <w:tcBorders>
              <w:bottom w:val="single" w:color="000000" w:sz="6" w:space="0"/>
            </w:tcBorders>
            <w:noWrap w:val="0"/>
            <w:vAlign w:val="center"/>
          </w:tcPr>
          <w:p w14:paraId="48986D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i/>
                <w:iCs/>
                <w:sz w:val="21"/>
                <w:szCs w:val="21"/>
              </w:rPr>
            </w:pPr>
            <w:r>
              <w:rPr>
                <w:rFonts w:hint="eastAsia" w:ascii="Times New Roman" w:hAnsi="Times New Roman" w:eastAsia="楷体_GB2312" w:cs="楷体_GB2312"/>
                <w:i/>
                <w:iCs/>
                <w:snapToGrid w:val="0"/>
                <w:kern w:val="0"/>
                <w:sz w:val="21"/>
                <w:szCs w:val="21"/>
                <w:lang w:eastAsia="zh-CN"/>
              </w:rPr>
              <w:t>R</w:t>
            </w:r>
            <w:r>
              <w:rPr>
                <w:rFonts w:hint="eastAsia" w:ascii="Times New Roman" w:hAnsi="Times New Roman" w:eastAsia="楷体_GB2312" w:cs="楷体_GB2312"/>
                <w:i/>
                <w:iCs/>
                <w:snapToGrid w:val="0"/>
                <w:kern w:val="0"/>
                <w:sz w:val="21"/>
                <w:szCs w:val="21"/>
                <w:vertAlign w:val="subscript"/>
                <w:lang w:val="en-US" w:eastAsia="zh-CN"/>
              </w:rPr>
              <w:t>e</w:t>
            </w:r>
            <w:r>
              <w:rPr>
                <w:rFonts w:hint="eastAsia" w:ascii="Times New Roman" w:hAnsi="Times New Roman" w:eastAsia="楷体_GB2312" w:cs="楷体_GB2312"/>
                <w:i/>
                <w:iCs/>
                <w:snapToGrid w:val="0"/>
                <w:kern w:val="0"/>
                <w:sz w:val="21"/>
                <w:szCs w:val="21"/>
                <w:lang w:eastAsia="zh-CN"/>
              </w:rPr>
              <w:t>²</w:t>
            </w:r>
          </w:p>
        </w:tc>
        <w:tc>
          <w:tcPr>
            <w:tcW w:w="403" w:type="pct"/>
            <w:tcBorders>
              <w:bottom w:val="single" w:color="000000" w:sz="6" w:space="0"/>
            </w:tcBorders>
            <w:noWrap w:val="0"/>
            <w:vAlign w:val="center"/>
          </w:tcPr>
          <w:p w14:paraId="5A018A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i/>
                <w:iCs/>
                <w:sz w:val="21"/>
                <w:szCs w:val="21"/>
                <w:lang w:val="en-US"/>
              </w:rPr>
            </w:pPr>
            <w:r>
              <w:rPr>
                <w:rFonts w:hint="eastAsia" w:ascii="Times New Roman" w:hAnsi="Times New Roman" w:eastAsia="楷体_GB2312" w:cs="楷体_GB2312"/>
                <w:i/>
                <w:iCs/>
                <w:snapToGrid w:val="0"/>
                <w:kern w:val="0"/>
                <w:sz w:val="21"/>
                <w:szCs w:val="21"/>
                <w:lang w:eastAsia="zh-CN"/>
              </w:rPr>
              <w:t>SEC</w:t>
            </w:r>
          </w:p>
        </w:tc>
        <w:tc>
          <w:tcPr>
            <w:tcW w:w="504" w:type="pct"/>
            <w:tcBorders>
              <w:bottom w:val="single" w:color="000000" w:sz="6" w:space="0"/>
            </w:tcBorders>
            <w:noWrap w:val="0"/>
            <w:vAlign w:val="center"/>
          </w:tcPr>
          <w:p w14:paraId="4A379B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i/>
                <w:iCs/>
                <w:snapToGrid w:val="0"/>
                <w:kern w:val="0"/>
                <w:sz w:val="21"/>
                <w:szCs w:val="21"/>
                <w:lang w:eastAsia="zh-CN"/>
              </w:rPr>
            </w:pPr>
            <w:r>
              <w:rPr>
                <w:rFonts w:hint="eastAsia" w:ascii="Times New Roman" w:hAnsi="Times New Roman" w:eastAsia="楷体_GB2312" w:cs="楷体_GB2312"/>
                <w:i/>
                <w:iCs/>
                <w:snapToGrid w:val="0"/>
                <w:kern w:val="0"/>
                <w:sz w:val="21"/>
                <w:szCs w:val="21"/>
                <w:lang w:eastAsia="zh-CN"/>
              </w:rPr>
              <w:t>SEC</w:t>
            </w:r>
            <w:r>
              <w:rPr>
                <w:rFonts w:hint="eastAsia" w:ascii="Times New Roman" w:hAnsi="Times New Roman" w:eastAsia="楷体_GB2312" w:cs="楷体_GB2312"/>
                <w:i/>
                <w:iCs/>
                <w:snapToGrid w:val="0"/>
                <w:kern w:val="0"/>
                <w:sz w:val="21"/>
                <w:szCs w:val="21"/>
                <w:lang w:val="en-US" w:eastAsia="zh-CN"/>
              </w:rPr>
              <w:t>V</w:t>
            </w:r>
          </w:p>
        </w:tc>
      </w:tr>
      <w:tr w14:paraId="7193E61E">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07" w:type="pct"/>
            <w:tcBorders>
              <w:right w:val="nil"/>
            </w:tcBorders>
            <w:noWrap w:val="0"/>
            <w:vAlign w:val="center"/>
          </w:tcPr>
          <w:p w14:paraId="59C457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sz w:val="21"/>
                <w:szCs w:val="21"/>
                <w:lang w:val="en-US" w:eastAsia="zh-CN"/>
              </w:rPr>
            </w:pPr>
            <w:r>
              <w:rPr>
                <w:rFonts w:hint="eastAsia" w:ascii="Times New Roman" w:hAnsi="Times New Roman" w:eastAsia="楷体_GB2312" w:cs="楷体_GB2312"/>
                <w:color w:val="000000"/>
                <w:kern w:val="0"/>
                <w:sz w:val="21"/>
                <w:szCs w:val="21"/>
                <w:lang w:val="en-US" w:eastAsia="zh-CN"/>
              </w:rPr>
              <w:t>进口设备</w:t>
            </w:r>
          </w:p>
        </w:tc>
        <w:tc>
          <w:tcPr>
            <w:tcW w:w="1169" w:type="pct"/>
            <w:tcBorders>
              <w:left w:val="nil"/>
            </w:tcBorders>
            <w:noWrap w:val="0"/>
            <w:vAlign w:val="center"/>
          </w:tcPr>
          <w:p w14:paraId="16A86C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sz w:val="21"/>
                <w:szCs w:val="21"/>
                <w:lang w:eastAsia="zh-CN"/>
              </w:rPr>
            </w:pPr>
            <w:r>
              <w:rPr>
                <w:rFonts w:hint="eastAsia" w:ascii="Times New Roman" w:hAnsi="Times New Roman" w:eastAsia="楷体_GB2312" w:cs="楷体_GB2312"/>
                <w:color w:val="000000"/>
                <w:kern w:val="0"/>
                <w:sz w:val="21"/>
                <w:szCs w:val="21"/>
                <w:lang w:val="en-US" w:eastAsia="zh-CN"/>
              </w:rPr>
              <w:t>3</w:t>
            </w:r>
          </w:p>
        </w:tc>
        <w:tc>
          <w:tcPr>
            <w:tcW w:w="888" w:type="pct"/>
            <w:noWrap w:val="0"/>
            <w:vAlign w:val="center"/>
          </w:tcPr>
          <w:p w14:paraId="009D8F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楷体_GB2312"/>
                <w:sz w:val="21"/>
                <w:szCs w:val="21"/>
                <w:lang w:val="en-US" w:eastAsia="zh-CN"/>
              </w:rPr>
            </w:pPr>
            <w:r>
              <w:rPr>
                <w:rFonts w:hint="eastAsia" w:ascii="Times New Roman" w:hAnsi="Times New Roman" w:eastAsia="楷体_GB2312" w:cs="楷体_GB2312"/>
                <w:kern w:val="0"/>
                <w:sz w:val="21"/>
                <w:szCs w:val="21"/>
                <w:lang w:val="en-US" w:eastAsia="zh-CN"/>
              </w:rPr>
              <w:t>147</w:t>
            </w:r>
          </w:p>
        </w:tc>
        <w:tc>
          <w:tcPr>
            <w:tcW w:w="864" w:type="pct"/>
            <w:noWrap w:val="0"/>
            <w:vAlign w:val="center"/>
          </w:tcPr>
          <w:p w14:paraId="68E599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楷体_GB2312"/>
                <w:sz w:val="21"/>
                <w:szCs w:val="21"/>
                <w:lang w:val="en-US" w:eastAsia="zh-CN"/>
              </w:rPr>
            </w:pPr>
            <w:r>
              <w:rPr>
                <w:rFonts w:hint="eastAsia" w:ascii="Times New Roman" w:hAnsi="Times New Roman" w:eastAsia="楷体_GB2312" w:cs="楷体_GB2312"/>
                <w:kern w:val="0"/>
                <w:sz w:val="21"/>
                <w:szCs w:val="21"/>
                <w:lang w:val="en-US" w:eastAsia="zh-CN"/>
              </w:rPr>
              <w:t>2.9~27.5</w:t>
            </w:r>
          </w:p>
        </w:tc>
        <w:tc>
          <w:tcPr>
            <w:tcW w:w="461" w:type="pct"/>
            <w:noWrap w:val="0"/>
            <w:vAlign w:val="center"/>
          </w:tcPr>
          <w:p w14:paraId="628E9C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color w:val="000000"/>
                <w:kern w:val="0"/>
                <w:sz w:val="21"/>
                <w:szCs w:val="21"/>
                <w:lang w:val="en-US" w:eastAsia="zh-CN"/>
              </w:rPr>
            </w:pPr>
            <w:r>
              <w:rPr>
                <w:rFonts w:hint="eastAsia" w:ascii="Times New Roman" w:hAnsi="Times New Roman" w:eastAsia="楷体_GB2312" w:cs="楷体_GB2312"/>
                <w:color w:val="000000"/>
                <w:kern w:val="0"/>
                <w:sz w:val="21"/>
                <w:szCs w:val="21"/>
                <w:lang w:val="en-US" w:eastAsia="zh-CN"/>
              </w:rPr>
              <w:t>0.964</w:t>
            </w:r>
          </w:p>
        </w:tc>
        <w:tc>
          <w:tcPr>
            <w:tcW w:w="403" w:type="pct"/>
            <w:noWrap w:val="0"/>
            <w:vAlign w:val="center"/>
          </w:tcPr>
          <w:p w14:paraId="042CF1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color w:val="000000"/>
                <w:kern w:val="0"/>
                <w:sz w:val="21"/>
                <w:szCs w:val="21"/>
                <w:lang w:val="en-US" w:eastAsia="zh-CN"/>
              </w:rPr>
            </w:pPr>
            <w:r>
              <w:rPr>
                <w:rFonts w:hint="eastAsia" w:ascii="Times New Roman" w:hAnsi="Times New Roman" w:eastAsia="楷体_GB2312" w:cs="楷体_GB2312"/>
                <w:color w:val="000000"/>
                <w:kern w:val="0"/>
                <w:sz w:val="21"/>
                <w:szCs w:val="21"/>
                <w:lang w:val="en-US" w:eastAsia="zh-CN"/>
              </w:rPr>
              <w:t>1.05</w:t>
            </w:r>
          </w:p>
        </w:tc>
        <w:tc>
          <w:tcPr>
            <w:tcW w:w="504" w:type="pct"/>
            <w:noWrap w:val="0"/>
            <w:vAlign w:val="center"/>
          </w:tcPr>
          <w:p w14:paraId="6FBC9B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color w:val="000000"/>
                <w:kern w:val="0"/>
                <w:sz w:val="21"/>
                <w:szCs w:val="21"/>
                <w:lang w:val="en-US" w:eastAsia="zh-CN"/>
              </w:rPr>
            </w:pPr>
            <w:r>
              <w:rPr>
                <w:rFonts w:hint="eastAsia" w:ascii="Times New Roman" w:hAnsi="Times New Roman" w:eastAsia="楷体_GB2312" w:cs="楷体_GB2312"/>
                <w:color w:val="000000"/>
                <w:kern w:val="0"/>
                <w:sz w:val="21"/>
                <w:szCs w:val="21"/>
                <w:lang w:val="en-US" w:eastAsia="zh-CN"/>
              </w:rPr>
              <w:t>1.21</w:t>
            </w:r>
          </w:p>
        </w:tc>
      </w:tr>
      <w:tr w14:paraId="42A4235E">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07" w:type="pct"/>
            <w:tcBorders>
              <w:right w:val="nil"/>
            </w:tcBorders>
            <w:noWrap w:val="0"/>
            <w:vAlign w:val="center"/>
          </w:tcPr>
          <w:p w14:paraId="25E1A3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color w:val="000000"/>
                <w:kern w:val="0"/>
                <w:sz w:val="21"/>
                <w:szCs w:val="21"/>
                <w:lang w:val="en-US" w:eastAsia="zh-CN"/>
              </w:rPr>
            </w:pPr>
            <w:r>
              <w:rPr>
                <w:rFonts w:hint="eastAsia" w:ascii="Times New Roman" w:hAnsi="Times New Roman" w:eastAsia="楷体_GB2312" w:cs="楷体_GB2312"/>
                <w:color w:val="000000"/>
                <w:kern w:val="0"/>
                <w:sz w:val="21"/>
                <w:szCs w:val="21"/>
                <w:lang w:val="en-US" w:eastAsia="zh-CN"/>
              </w:rPr>
              <w:t>国产设备</w:t>
            </w:r>
          </w:p>
        </w:tc>
        <w:tc>
          <w:tcPr>
            <w:tcW w:w="1169" w:type="pct"/>
            <w:tcBorders>
              <w:left w:val="nil"/>
            </w:tcBorders>
            <w:noWrap w:val="0"/>
            <w:vAlign w:val="center"/>
          </w:tcPr>
          <w:p w14:paraId="2BB7A6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楷体_GB2312"/>
                <w:color w:val="000000"/>
                <w:kern w:val="0"/>
                <w:sz w:val="21"/>
                <w:szCs w:val="21"/>
                <w:lang w:val="en-US" w:eastAsia="zh-CN"/>
              </w:rPr>
            </w:pPr>
            <w:r>
              <w:rPr>
                <w:rFonts w:hint="eastAsia" w:ascii="Times New Roman" w:hAnsi="Times New Roman" w:eastAsia="楷体_GB2312" w:cs="楷体_GB2312"/>
                <w:color w:val="000000"/>
                <w:kern w:val="0"/>
                <w:sz w:val="21"/>
                <w:szCs w:val="21"/>
                <w:lang w:val="en-US" w:eastAsia="zh-CN"/>
              </w:rPr>
              <w:t>2</w:t>
            </w:r>
          </w:p>
        </w:tc>
        <w:tc>
          <w:tcPr>
            <w:tcW w:w="888" w:type="pct"/>
            <w:noWrap w:val="0"/>
            <w:vAlign w:val="center"/>
          </w:tcPr>
          <w:p w14:paraId="3CF6B7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楷体_GB2312"/>
                <w:kern w:val="0"/>
                <w:sz w:val="21"/>
                <w:szCs w:val="21"/>
                <w:lang w:val="en-US" w:eastAsia="zh-CN"/>
              </w:rPr>
            </w:pPr>
            <w:r>
              <w:rPr>
                <w:rFonts w:hint="eastAsia" w:ascii="Times New Roman" w:hAnsi="Times New Roman" w:eastAsia="楷体_GB2312" w:cs="楷体_GB2312"/>
                <w:kern w:val="0"/>
                <w:sz w:val="21"/>
                <w:szCs w:val="21"/>
                <w:lang w:val="en-US" w:eastAsia="zh-CN"/>
              </w:rPr>
              <w:t>148</w:t>
            </w:r>
          </w:p>
        </w:tc>
        <w:tc>
          <w:tcPr>
            <w:tcW w:w="864" w:type="pct"/>
            <w:noWrap w:val="0"/>
            <w:vAlign w:val="center"/>
          </w:tcPr>
          <w:p w14:paraId="2427E0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kern w:val="0"/>
                <w:sz w:val="21"/>
                <w:szCs w:val="21"/>
                <w:lang w:val="en-US" w:eastAsia="zh-CN"/>
              </w:rPr>
            </w:pPr>
            <w:r>
              <w:rPr>
                <w:rFonts w:hint="eastAsia" w:ascii="Times New Roman" w:hAnsi="Times New Roman" w:eastAsia="楷体_GB2312" w:cs="楷体_GB2312"/>
                <w:kern w:val="0"/>
                <w:sz w:val="21"/>
                <w:szCs w:val="21"/>
                <w:lang w:val="en-US" w:eastAsia="zh-CN"/>
              </w:rPr>
              <w:t>2.9~27.5</w:t>
            </w:r>
          </w:p>
        </w:tc>
        <w:tc>
          <w:tcPr>
            <w:tcW w:w="461" w:type="pct"/>
            <w:noWrap w:val="0"/>
            <w:vAlign w:val="center"/>
          </w:tcPr>
          <w:p w14:paraId="5B16AC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color w:val="000000"/>
                <w:kern w:val="0"/>
                <w:sz w:val="21"/>
                <w:szCs w:val="21"/>
                <w:lang w:val="en-US" w:eastAsia="zh-CN"/>
              </w:rPr>
            </w:pPr>
            <w:r>
              <w:rPr>
                <w:rFonts w:hint="eastAsia" w:ascii="Times New Roman" w:hAnsi="Times New Roman" w:eastAsia="楷体_GB2312" w:cs="楷体_GB2312"/>
                <w:color w:val="000000"/>
                <w:kern w:val="0"/>
                <w:sz w:val="21"/>
                <w:szCs w:val="21"/>
                <w:lang w:val="en-US" w:eastAsia="zh-CN"/>
              </w:rPr>
              <w:t>0.974</w:t>
            </w:r>
          </w:p>
        </w:tc>
        <w:tc>
          <w:tcPr>
            <w:tcW w:w="403" w:type="pct"/>
            <w:noWrap w:val="0"/>
            <w:vAlign w:val="center"/>
          </w:tcPr>
          <w:p w14:paraId="26176B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color w:val="000000"/>
                <w:kern w:val="0"/>
                <w:sz w:val="21"/>
                <w:szCs w:val="21"/>
                <w:lang w:val="en-US" w:eastAsia="zh-CN"/>
              </w:rPr>
            </w:pPr>
            <w:r>
              <w:rPr>
                <w:rFonts w:hint="eastAsia" w:ascii="Times New Roman" w:hAnsi="Times New Roman" w:eastAsia="楷体_GB2312" w:cs="楷体_GB2312"/>
                <w:color w:val="000000"/>
                <w:kern w:val="0"/>
                <w:sz w:val="21"/>
                <w:szCs w:val="21"/>
                <w:lang w:val="en-US" w:eastAsia="zh-CN"/>
              </w:rPr>
              <w:t>1.04</w:t>
            </w:r>
          </w:p>
        </w:tc>
        <w:tc>
          <w:tcPr>
            <w:tcW w:w="504" w:type="pct"/>
            <w:noWrap w:val="0"/>
            <w:vAlign w:val="center"/>
          </w:tcPr>
          <w:p w14:paraId="532920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_GB2312" w:cs="楷体_GB2312"/>
                <w:color w:val="000000"/>
                <w:kern w:val="0"/>
                <w:sz w:val="21"/>
                <w:szCs w:val="21"/>
                <w:lang w:val="en-US" w:eastAsia="zh-CN"/>
              </w:rPr>
            </w:pPr>
            <w:r>
              <w:rPr>
                <w:rFonts w:hint="eastAsia" w:ascii="Times New Roman" w:hAnsi="Times New Roman" w:eastAsia="楷体_GB2312" w:cs="楷体_GB2312"/>
                <w:color w:val="000000"/>
                <w:kern w:val="0"/>
                <w:sz w:val="21"/>
                <w:szCs w:val="21"/>
                <w:lang w:val="en-US" w:eastAsia="zh-CN"/>
              </w:rPr>
              <w:t>1.12</w:t>
            </w:r>
          </w:p>
        </w:tc>
      </w:tr>
    </w:tbl>
    <w:p w14:paraId="3AACF583">
      <w:pPr>
        <w:pStyle w:val="2"/>
        <w:ind w:left="0" w:leftChars="0" w:firstLine="0" w:firstLineChars="0"/>
        <w:jc w:val="center"/>
        <w:rPr>
          <w:rFonts w:ascii="Times New Roman" w:hAnsi="Times New Roman"/>
        </w:rPr>
      </w:pPr>
      <w:r>
        <w:rPr>
          <w:rFonts w:ascii="Times New Roman" w:hAnsi="Times New Roman"/>
        </w:rPr>
        <w:drawing>
          <wp:inline distT="0" distB="0" distL="114300" distR="114300">
            <wp:extent cx="4029710" cy="2298700"/>
            <wp:effectExtent l="0" t="0" r="8890" b="6350"/>
            <wp:docPr id="71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 name="图片 3"/>
                    <pic:cNvPicPr>
                      <a:picLocks noChangeAspect="1"/>
                    </pic:cNvPicPr>
                  </pic:nvPicPr>
                  <pic:blipFill>
                    <a:blip r:embed="rId25"/>
                    <a:stretch>
                      <a:fillRect/>
                    </a:stretch>
                  </pic:blipFill>
                  <pic:spPr>
                    <a:xfrm>
                      <a:off x="0" y="0"/>
                      <a:ext cx="4029710" cy="2298700"/>
                    </a:xfrm>
                    <a:prstGeom prst="rect">
                      <a:avLst/>
                    </a:prstGeom>
                    <a:noFill/>
                    <a:ln w="9525">
                      <a:noFill/>
                    </a:ln>
                  </pic:spPr>
                </pic:pic>
              </a:graphicData>
            </a:graphic>
          </wp:inline>
        </w:drawing>
      </w:r>
    </w:p>
    <w:p w14:paraId="159CD516">
      <w:pPr>
        <w:keepNext w:val="0"/>
        <w:keepLines w:val="0"/>
        <w:pageBreakBefore w:val="0"/>
        <w:widowControl w:val="0"/>
        <w:kinsoku/>
        <w:overflowPunct/>
        <w:topLinePunct w:val="0"/>
        <w:bidi w:val="0"/>
        <w:adjustRightInd/>
        <w:spacing w:line="360" w:lineRule="auto"/>
        <w:jc w:val="center"/>
        <w:textAlignment w:val="auto"/>
        <w:rPr>
          <w:rFonts w:hint="default" w:ascii="Times New Roman" w:hAnsi="Times New Roman" w:eastAsia="楷体"/>
          <w:b/>
          <w:szCs w:val="21"/>
          <w:lang w:val="en-US"/>
        </w:rPr>
      </w:pPr>
      <w:r>
        <w:rPr>
          <w:rFonts w:hint="eastAsia" w:ascii="Times New Roman" w:hAnsi="Times New Roman" w:eastAsia="楷体"/>
          <w:b w:val="0"/>
          <w:bCs/>
          <w:szCs w:val="21"/>
          <w:lang w:val="en-US" w:eastAsia="zh-CN"/>
        </w:rPr>
        <w:t xml:space="preserve">图4 </w:t>
      </w:r>
      <w:r>
        <w:rPr>
          <w:rFonts w:hint="eastAsia" w:ascii="Times New Roman" w:hAnsi="Times New Roman" w:eastAsia="楷体"/>
          <w:b w:val="0"/>
          <w:bCs/>
          <w:szCs w:val="21"/>
          <w:lang w:eastAsia="zh-CN"/>
        </w:rPr>
        <w:t>校正集样品内部交互验证结果（进口设备）</w:t>
      </w:r>
    </w:p>
    <w:p w14:paraId="0AAB7317">
      <w:pPr>
        <w:pStyle w:val="2"/>
        <w:ind w:left="0" w:leftChars="0" w:firstLine="0" w:firstLineChars="0"/>
        <w:jc w:val="center"/>
        <w:rPr>
          <w:rFonts w:hint="default" w:ascii="Times New Roman" w:hAnsi="Times New Roman"/>
          <w:lang w:val="en-US" w:eastAsia="zh-CN"/>
        </w:rPr>
      </w:pPr>
      <w:r>
        <w:rPr>
          <w:rFonts w:ascii="Times New Roman" w:hAnsi="Times New Roman"/>
        </w:rPr>
        <w:drawing>
          <wp:inline distT="0" distB="0" distL="114300" distR="114300">
            <wp:extent cx="4596765" cy="2454910"/>
            <wp:effectExtent l="0" t="0" r="13335" b="2540"/>
            <wp:docPr id="71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 name="图片 2"/>
                    <pic:cNvPicPr>
                      <a:picLocks noChangeAspect="1"/>
                    </pic:cNvPicPr>
                  </pic:nvPicPr>
                  <pic:blipFill>
                    <a:blip r:embed="rId26"/>
                    <a:stretch>
                      <a:fillRect/>
                    </a:stretch>
                  </pic:blipFill>
                  <pic:spPr>
                    <a:xfrm>
                      <a:off x="0" y="0"/>
                      <a:ext cx="4596765" cy="2454910"/>
                    </a:xfrm>
                    <a:prstGeom prst="rect">
                      <a:avLst/>
                    </a:prstGeom>
                    <a:noFill/>
                    <a:ln w="9525">
                      <a:noFill/>
                    </a:ln>
                  </pic:spPr>
                </pic:pic>
              </a:graphicData>
            </a:graphic>
          </wp:inline>
        </w:drawing>
      </w:r>
    </w:p>
    <w:p w14:paraId="0162C1B0">
      <w:pPr>
        <w:keepNext w:val="0"/>
        <w:keepLines w:val="0"/>
        <w:pageBreakBefore w:val="0"/>
        <w:widowControl w:val="0"/>
        <w:kinsoku/>
        <w:overflowPunct/>
        <w:topLinePunct w:val="0"/>
        <w:bidi w:val="0"/>
        <w:adjustRightInd/>
        <w:spacing w:line="360" w:lineRule="auto"/>
        <w:jc w:val="center"/>
        <w:textAlignment w:val="auto"/>
        <w:rPr>
          <w:rFonts w:hint="default" w:ascii="Times New Roman" w:hAnsi="Times New Roman"/>
          <w:lang w:val="en-US" w:eastAsia="zh-CN"/>
        </w:rPr>
      </w:pPr>
      <w:r>
        <w:rPr>
          <w:rFonts w:hint="eastAsia" w:ascii="Times New Roman" w:hAnsi="Times New Roman" w:eastAsia="楷体"/>
          <w:b w:val="0"/>
          <w:bCs/>
          <w:szCs w:val="21"/>
          <w:lang w:val="en-US" w:eastAsia="zh-CN"/>
        </w:rPr>
        <w:t xml:space="preserve">图5 </w:t>
      </w:r>
      <w:r>
        <w:rPr>
          <w:rFonts w:hint="eastAsia" w:ascii="Times New Roman" w:hAnsi="Times New Roman" w:eastAsia="楷体"/>
          <w:b w:val="0"/>
          <w:bCs/>
          <w:szCs w:val="21"/>
          <w:lang w:eastAsia="zh-CN"/>
        </w:rPr>
        <w:t>校正集样品内部交互验证结果（国产设备）</w:t>
      </w:r>
    </w:p>
    <w:p w14:paraId="2AA51F48">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3.定标模型的验证</w:t>
      </w:r>
    </w:p>
    <w:p w14:paraId="308BE272">
      <w:pPr>
        <w:keepNext w:val="0"/>
        <w:keepLines w:val="0"/>
        <w:pageBreakBefore w:val="0"/>
        <w:widowControl w:val="0"/>
        <w:kinsoku/>
        <w:wordWrap/>
        <w:overflowPunct/>
        <w:topLinePunct w:val="0"/>
        <w:bidi w:val="0"/>
        <w:adjustRightInd/>
        <w:snapToGrid/>
        <w:spacing w:line="600" w:lineRule="exact"/>
        <w:ind w:firstLine="640" w:firstLineChars="200"/>
        <w:rPr>
          <w:rFonts w:hint="default" w:ascii="Times New Roman" w:hAnsi="Times New Roman" w:eastAsia="仿宋_GB2312" w:cs="仿宋_GB2312"/>
          <w:color w:val="000000" w:themeColor="text1"/>
          <w:sz w:val="32"/>
          <w:szCs w:val="32"/>
          <w:lang w:val="en-US" w:eastAsia="zh-CN" w:bidi="ar"/>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（1）准确性。利用定标模型预测验证集样品的直链淀粉含量，并同标准化学值进行比较，结果见表4，预测值与化学值相关关系见图6、7。从图4可知，进口设备和国产设备的验证集</w:t>
      </w:r>
      <w:r>
        <w:rPr>
          <w:rFonts w:hint="eastAsia" w:ascii="Times New Roman" w:hAnsi="Times New Roman" w:eastAsia="仿宋_GB2312" w:cs="仿宋_GB2312"/>
          <w:i/>
          <w:iCs/>
          <w:color w:val="000000" w:themeColor="text1"/>
          <w:sz w:val="32"/>
          <w:szCs w:val="32"/>
          <w:lang w:val="en-US" w:eastAsia="zh-CN" w:bidi="ar"/>
          <w14:textFill>
            <w14:solidFill>
              <w14:schemeClr w14:val="tx1"/>
            </w14:solidFill>
          </w14:textFill>
        </w:rPr>
        <w:t>R</w:t>
      </w:r>
      <w:r>
        <w:rPr>
          <w:rFonts w:hint="eastAsia" w:ascii="Times New Roman" w:hAnsi="Times New Roman" w:eastAsia="仿宋_GB2312" w:cs="仿宋_GB2312"/>
          <w:i/>
          <w:iCs/>
          <w:color w:val="000000" w:themeColor="text1"/>
          <w:sz w:val="32"/>
          <w:szCs w:val="32"/>
          <w:vertAlign w:val="subscript"/>
          <w:lang w:val="en-US" w:eastAsia="zh-CN" w:bidi="ar"/>
          <w14:textFill>
            <w14:solidFill>
              <w14:schemeClr w14:val="tx1"/>
            </w14:solidFill>
          </w14:textFill>
        </w:rPr>
        <w:t>p</w:t>
      </w:r>
      <w:r>
        <w:rPr>
          <w:rFonts w:hint="eastAsia" w:ascii="Times New Roman" w:hAnsi="Times New Roman" w:eastAsia="仿宋_GB2312" w:cs="仿宋_GB2312"/>
          <w:i/>
          <w:iCs/>
          <w:color w:val="000000" w:themeColor="text1"/>
          <w:sz w:val="32"/>
          <w:szCs w:val="32"/>
          <w:lang w:val="en-US" w:eastAsia="zh-CN" w:bidi="ar"/>
          <w14:textFill>
            <w14:solidFill>
              <w14:schemeClr w14:val="tx1"/>
            </w14:solidFill>
          </w14:textFill>
        </w:rPr>
        <w:t>²</w:t>
      </w: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分别为0.973、0.978，均在0.9以上，说明验证集样品的预测值与化学值具有较好的相关性；</w:t>
      </w:r>
      <w:r>
        <w:rPr>
          <w:rFonts w:hint="eastAsia" w:ascii="Times New Roman" w:hAnsi="Times New Roman" w:eastAsia="仿宋_GB2312" w:cs="仿宋_GB2312"/>
          <w:i/>
          <w:iCs/>
          <w:color w:val="000000" w:themeColor="text1"/>
          <w:sz w:val="32"/>
          <w:szCs w:val="32"/>
          <w:lang w:val="en-US" w:eastAsia="zh-CN" w:bidi="ar"/>
          <w14:textFill>
            <w14:solidFill>
              <w14:schemeClr w14:val="tx1"/>
            </w14:solidFill>
          </w14:textFill>
        </w:rPr>
        <w:t>RPD</w:t>
      </w: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分别为6.03、6.77，均大于2，说明模型结果可靠。进口设备和国产设备所得到的</w:t>
      </w:r>
      <w:r>
        <w:rPr>
          <w:rFonts w:hint="eastAsia" w:ascii="Times New Roman" w:hAnsi="Times New Roman" w:eastAsia="仿宋_GB2312" w:cs="仿宋_GB2312"/>
          <w:i/>
          <w:iCs/>
          <w:color w:val="000000" w:themeColor="text1"/>
          <w:sz w:val="32"/>
          <w:szCs w:val="32"/>
          <w:lang w:val="en-US" w:eastAsia="zh-CN" w:bidi="ar"/>
          <w14:textFill>
            <w14:solidFill>
              <w14:schemeClr w14:val="tx1"/>
            </w14:solidFill>
          </w14:textFill>
        </w:rPr>
        <w:t>SEP</w:t>
      </w: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分别为1.144%、1.02%，因此本标准中将准确性规定为“验证样品的直链淀粉含量扣除系统偏差之后的测定值与其标准理化方法分析值之间的标准差（</w:t>
      </w:r>
      <w:r>
        <w:rPr>
          <w:rFonts w:hint="eastAsia" w:ascii="Times New Roman" w:hAnsi="Times New Roman" w:eastAsia="仿宋_GB2312" w:cs="仿宋_GB2312"/>
          <w:i/>
          <w:iCs/>
          <w:color w:val="000000" w:themeColor="text1"/>
          <w:sz w:val="32"/>
          <w:szCs w:val="32"/>
          <w:lang w:val="en-US" w:eastAsia="zh-CN" w:bidi="ar"/>
          <w14:textFill>
            <w14:solidFill>
              <w14:schemeClr w14:val="tx1"/>
            </w14:solidFill>
          </w14:textFill>
        </w:rPr>
        <w:t>SEP</w:t>
      </w: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）应小于1.2%。”</w:t>
      </w:r>
    </w:p>
    <w:p w14:paraId="05FD89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b w:val="0"/>
          <w:bCs/>
          <w:szCs w:val="21"/>
        </w:rPr>
      </w:pPr>
    </w:p>
    <w:p w14:paraId="5AA16C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b w:val="0"/>
          <w:bCs/>
          <w:szCs w:val="21"/>
        </w:rPr>
      </w:pPr>
    </w:p>
    <w:p w14:paraId="6BCDF6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b w:val="0"/>
          <w:bCs/>
          <w:szCs w:val="21"/>
        </w:rPr>
      </w:pPr>
    </w:p>
    <w:p w14:paraId="06F294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
          <w:b w:val="0"/>
          <w:bCs/>
          <w:szCs w:val="21"/>
          <w:lang w:val="en-US" w:eastAsia="zh-CN"/>
        </w:rPr>
      </w:pPr>
      <w:r>
        <w:rPr>
          <w:rFonts w:hint="eastAsia" w:ascii="Times New Roman" w:hAnsi="Times New Roman" w:eastAsia="楷体"/>
          <w:b w:val="0"/>
          <w:bCs/>
          <w:szCs w:val="21"/>
        </w:rPr>
        <w:t>表</w:t>
      </w:r>
      <w:r>
        <w:rPr>
          <w:rFonts w:hint="eastAsia" w:ascii="Times New Roman" w:hAnsi="Times New Roman" w:eastAsia="楷体"/>
          <w:b w:val="0"/>
          <w:bCs/>
          <w:szCs w:val="21"/>
          <w:lang w:val="en-US" w:eastAsia="zh-CN"/>
        </w:rPr>
        <w:t>4 PLS</w:t>
      </w:r>
      <w:r>
        <w:rPr>
          <w:rFonts w:hint="eastAsia" w:ascii="Times New Roman" w:hAnsi="Times New Roman" w:eastAsia="楷体"/>
          <w:b w:val="0"/>
          <w:bCs/>
          <w:szCs w:val="21"/>
          <w:lang w:eastAsia="zh-CN"/>
        </w:rPr>
        <w:t>模型的验证</w:t>
      </w:r>
      <w:r>
        <w:rPr>
          <w:rFonts w:hint="eastAsia" w:ascii="Times New Roman" w:hAnsi="Times New Roman" w:eastAsia="楷体"/>
          <w:b w:val="0"/>
          <w:bCs/>
          <w:szCs w:val="21"/>
          <w:lang w:val="en-US" w:eastAsia="zh-CN"/>
        </w:rPr>
        <w:t xml:space="preserve">    %</w:t>
      </w:r>
    </w:p>
    <w:tbl>
      <w:tblPr>
        <w:tblStyle w:val="9"/>
        <w:tblW w:w="5374" w:type="pct"/>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6"/>
        <w:gridCol w:w="700"/>
        <w:gridCol w:w="730"/>
        <w:gridCol w:w="682"/>
        <w:gridCol w:w="731"/>
        <w:gridCol w:w="731"/>
        <w:gridCol w:w="731"/>
        <w:gridCol w:w="624"/>
        <w:gridCol w:w="731"/>
        <w:gridCol w:w="682"/>
        <w:gridCol w:w="618"/>
        <w:gridCol w:w="733"/>
        <w:gridCol w:w="618"/>
        <w:gridCol w:w="622"/>
      </w:tblGrid>
      <w:tr w14:paraId="71D9061B">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14" w:type="pct"/>
            <w:vMerge w:val="restart"/>
            <w:tcBorders>
              <w:right w:val="nil"/>
            </w:tcBorders>
            <w:noWrap w:val="0"/>
            <w:vAlign w:val="center"/>
          </w:tcPr>
          <w:p w14:paraId="0AAB579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sz w:val="18"/>
                <w:szCs w:val="18"/>
                <w:lang w:val="en-US" w:eastAsia="zh-CN"/>
              </w:rPr>
            </w:pPr>
            <w:r>
              <w:rPr>
                <w:rFonts w:hint="eastAsia" w:ascii="Times New Roman" w:hAnsi="Times New Roman"/>
                <w:sz w:val="18"/>
                <w:szCs w:val="18"/>
                <w:lang w:val="en-US" w:eastAsia="zh-CN"/>
              </w:rPr>
              <w:t>验证集样品序号</w:t>
            </w:r>
          </w:p>
        </w:tc>
        <w:tc>
          <w:tcPr>
            <w:tcW w:w="360" w:type="pct"/>
            <w:vMerge w:val="restart"/>
            <w:tcBorders>
              <w:left w:val="nil"/>
            </w:tcBorders>
            <w:noWrap w:val="0"/>
            <w:vAlign w:val="center"/>
          </w:tcPr>
          <w:p w14:paraId="4C49BA5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eastAsia="zh-CN"/>
              </w:rPr>
            </w:pPr>
            <w:r>
              <w:rPr>
                <w:rFonts w:hint="eastAsia" w:ascii="Times New Roman" w:hAnsi="Times New Roman"/>
                <w:sz w:val="18"/>
                <w:szCs w:val="18"/>
                <w:lang w:eastAsia="zh-CN"/>
              </w:rPr>
              <w:t>标准化学值</w:t>
            </w:r>
          </w:p>
        </w:tc>
        <w:tc>
          <w:tcPr>
            <w:tcW w:w="2170" w:type="pct"/>
            <w:gridSpan w:val="6"/>
            <w:tcBorders>
              <w:bottom w:val="single" w:color="000000" w:sz="6" w:space="0"/>
            </w:tcBorders>
            <w:noWrap w:val="0"/>
            <w:vAlign w:val="center"/>
          </w:tcPr>
          <w:p w14:paraId="3BACD04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进口设备</w:t>
            </w:r>
          </w:p>
        </w:tc>
        <w:tc>
          <w:tcPr>
            <w:tcW w:w="2054" w:type="pct"/>
            <w:gridSpan w:val="6"/>
            <w:tcBorders>
              <w:bottom w:val="single" w:color="000000" w:sz="6" w:space="0"/>
            </w:tcBorders>
            <w:noWrap w:val="0"/>
            <w:vAlign w:val="center"/>
          </w:tcPr>
          <w:p w14:paraId="1F6B3B9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国产设备</w:t>
            </w:r>
          </w:p>
        </w:tc>
      </w:tr>
      <w:tr w14:paraId="08B0EBF8">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exact"/>
          <w:jc w:val="center"/>
        </w:trPr>
        <w:tc>
          <w:tcPr>
            <w:tcW w:w="414" w:type="pct"/>
            <w:vMerge w:val="continue"/>
            <w:tcBorders>
              <w:bottom w:val="single" w:color="000000" w:sz="6" w:space="0"/>
              <w:right w:val="nil"/>
            </w:tcBorders>
            <w:noWrap w:val="0"/>
            <w:vAlign w:val="center"/>
          </w:tcPr>
          <w:p w14:paraId="0598142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60" w:type="pct"/>
            <w:vMerge w:val="continue"/>
            <w:tcBorders>
              <w:left w:val="nil"/>
              <w:bottom w:val="single" w:color="000000" w:sz="6" w:space="0"/>
            </w:tcBorders>
            <w:noWrap w:val="0"/>
            <w:vAlign w:val="center"/>
          </w:tcPr>
          <w:p w14:paraId="01CE297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eastAsia="zh-CN"/>
              </w:rPr>
            </w:pPr>
          </w:p>
        </w:tc>
        <w:tc>
          <w:tcPr>
            <w:tcW w:w="375" w:type="pct"/>
            <w:tcBorders>
              <w:bottom w:val="single" w:color="000000" w:sz="6" w:space="0"/>
            </w:tcBorders>
            <w:noWrap w:val="0"/>
            <w:vAlign w:val="center"/>
          </w:tcPr>
          <w:p w14:paraId="2524960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eastAsia="zh-CN"/>
              </w:rPr>
            </w:pPr>
            <w:r>
              <w:rPr>
                <w:rFonts w:hint="eastAsia" w:ascii="Times New Roman" w:hAnsi="Times New Roman"/>
                <w:sz w:val="18"/>
                <w:szCs w:val="18"/>
                <w:lang w:eastAsia="zh-CN"/>
              </w:rPr>
              <w:t>预测值</w:t>
            </w:r>
          </w:p>
        </w:tc>
        <w:tc>
          <w:tcPr>
            <w:tcW w:w="350" w:type="pct"/>
            <w:tcBorders>
              <w:bottom w:val="single" w:color="000000" w:sz="6" w:space="0"/>
            </w:tcBorders>
            <w:noWrap w:val="0"/>
            <w:vAlign w:val="center"/>
          </w:tcPr>
          <w:p w14:paraId="1F86579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eastAsia="zh-CN"/>
              </w:rPr>
            </w:pPr>
            <w:r>
              <w:rPr>
                <w:rFonts w:hint="eastAsia" w:ascii="Times New Roman" w:hAnsi="Times New Roman"/>
                <w:sz w:val="18"/>
                <w:szCs w:val="18"/>
                <w:lang w:eastAsia="zh-CN"/>
              </w:rPr>
              <w:t>绝对误差</w:t>
            </w:r>
          </w:p>
        </w:tc>
        <w:tc>
          <w:tcPr>
            <w:tcW w:w="375" w:type="pct"/>
            <w:tcBorders>
              <w:bottom w:val="single" w:color="000000" w:sz="6" w:space="0"/>
            </w:tcBorders>
            <w:noWrap w:val="0"/>
            <w:vAlign w:val="center"/>
          </w:tcPr>
          <w:p w14:paraId="18D2E65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eastAsia="zh-CN"/>
              </w:rPr>
            </w:pPr>
            <w:r>
              <w:rPr>
                <w:rFonts w:hint="eastAsia" w:ascii="Times New Roman" w:hAnsi="Times New Roman"/>
                <w:sz w:val="18"/>
                <w:szCs w:val="18"/>
                <w:lang w:eastAsia="zh-CN"/>
              </w:rPr>
              <w:t>系统偏差</w:t>
            </w:r>
          </w:p>
        </w:tc>
        <w:tc>
          <w:tcPr>
            <w:tcW w:w="375" w:type="pct"/>
            <w:tcBorders>
              <w:bottom w:val="single" w:color="000000" w:sz="6" w:space="0"/>
            </w:tcBorders>
            <w:noWrap w:val="0"/>
            <w:vAlign w:val="center"/>
          </w:tcPr>
          <w:p w14:paraId="44D3B35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i/>
                <w:iCs/>
                <w:sz w:val="18"/>
                <w:szCs w:val="18"/>
                <w:lang w:eastAsia="zh-CN"/>
              </w:rPr>
            </w:pPr>
            <w:r>
              <w:rPr>
                <w:rFonts w:hint="default" w:ascii="Times New Roman" w:hAnsi="Times New Roman" w:cs="Times New Roman"/>
                <w:i/>
                <w:iCs/>
                <w:sz w:val="18"/>
                <w:szCs w:val="18"/>
                <w:lang w:eastAsia="zh-CN"/>
              </w:rPr>
              <w:t>R</w:t>
            </w:r>
            <w:r>
              <w:rPr>
                <w:rFonts w:hint="default" w:ascii="Times New Roman" w:hAnsi="Times New Roman" w:cs="Times New Roman"/>
                <w:i/>
                <w:iCs/>
                <w:sz w:val="18"/>
                <w:szCs w:val="18"/>
                <w:vertAlign w:val="subscript"/>
                <w:lang w:val="en-US" w:eastAsia="zh-CN"/>
              </w:rPr>
              <w:t>p</w:t>
            </w:r>
            <w:r>
              <w:rPr>
                <w:rFonts w:hint="default" w:ascii="Times New Roman" w:hAnsi="Times New Roman" w:cs="Times New Roman"/>
                <w:i/>
                <w:iCs/>
                <w:sz w:val="18"/>
                <w:szCs w:val="18"/>
                <w:lang w:eastAsia="zh-CN"/>
              </w:rPr>
              <w:t>²</w:t>
            </w:r>
          </w:p>
        </w:tc>
        <w:tc>
          <w:tcPr>
            <w:tcW w:w="375" w:type="pct"/>
            <w:tcBorders>
              <w:bottom w:val="single" w:color="000000" w:sz="6" w:space="0"/>
            </w:tcBorders>
            <w:noWrap w:val="0"/>
            <w:vAlign w:val="center"/>
          </w:tcPr>
          <w:p w14:paraId="7E77416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i/>
                <w:iCs/>
                <w:sz w:val="18"/>
                <w:szCs w:val="18"/>
                <w:lang w:eastAsia="zh-CN"/>
              </w:rPr>
            </w:pPr>
            <w:r>
              <w:rPr>
                <w:rFonts w:hint="default" w:ascii="Times New Roman" w:hAnsi="Times New Roman" w:cs="Times New Roman"/>
                <w:i/>
                <w:iCs/>
                <w:sz w:val="18"/>
                <w:szCs w:val="18"/>
                <w:lang w:eastAsia="zh-CN"/>
              </w:rPr>
              <w:t>SE</w:t>
            </w:r>
            <w:r>
              <w:rPr>
                <w:rFonts w:hint="default" w:ascii="Times New Roman" w:hAnsi="Times New Roman" w:cs="Times New Roman"/>
                <w:i/>
                <w:iCs/>
                <w:sz w:val="18"/>
                <w:szCs w:val="18"/>
                <w:lang w:val="en-US" w:eastAsia="zh-CN"/>
              </w:rPr>
              <w:t>P</w:t>
            </w:r>
          </w:p>
        </w:tc>
        <w:tc>
          <w:tcPr>
            <w:tcW w:w="316" w:type="pct"/>
            <w:tcBorders>
              <w:bottom w:val="single" w:color="000000" w:sz="6" w:space="0"/>
            </w:tcBorders>
            <w:noWrap w:val="0"/>
            <w:vAlign w:val="center"/>
          </w:tcPr>
          <w:p w14:paraId="730CE54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i/>
                <w:iCs/>
                <w:sz w:val="18"/>
                <w:szCs w:val="18"/>
                <w:lang w:eastAsia="zh-CN"/>
              </w:rPr>
            </w:pPr>
            <w:r>
              <w:rPr>
                <w:rFonts w:hint="default" w:ascii="Times New Roman" w:hAnsi="Times New Roman" w:cs="Times New Roman"/>
                <w:i/>
                <w:iCs/>
                <w:sz w:val="18"/>
                <w:szCs w:val="18"/>
                <w:lang w:val="en-US" w:eastAsia="zh-CN"/>
              </w:rPr>
              <w:t>RPD</w:t>
            </w:r>
          </w:p>
        </w:tc>
        <w:tc>
          <w:tcPr>
            <w:tcW w:w="375" w:type="pct"/>
            <w:tcBorders>
              <w:bottom w:val="single" w:color="000000" w:sz="6" w:space="0"/>
            </w:tcBorders>
            <w:noWrap w:val="0"/>
            <w:vAlign w:val="center"/>
          </w:tcPr>
          <w:p w14:paraId="122C83A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eastAsia="zh-CN"/>
              </w:rPr>
            </w:pPr>
            <w:r>
              <w:rPr>
                <w:rFonts w:hint="eastAsia" w:ascii="Times New Roman" w:hAnsi="Times New Roman"/>
                <w:sz w:val="18"/>
                <w:szCs w:val="18"/>
                <w:lang w:eastAsia="zh-CN"/>
              </w:rPr>
              <w:t>预测值</w:t>
            </w:r>
          </w:p>
        </w:tc>
        <w:tc>
          <w:tcPr>
            <w:tcW w:w="350" w:type="pct"/>
            <w:tcBorders>
              <w:bottom w:val="single" w:color="000000" w:sz="6" w:space="0"/>
            </w:tcBorders>
            <w:noWrap w:val="0"/>
            <w:vAlign w:val="center"/>
          </w:tcPr>
          <w:p w14:paraId="1153D44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eastAsia="zh-CN"/>
              </w:rPr>
            </w:pPr>
            <w:r>
              <w:rPr>
                <w:rFonts w:hint="eastAsia" w:ascii="Times New Roman" w:hAnsi="Times New Roman"/>
                <w:sz w:val="18"/>
                <w:szCs w:val="18"/>
                <w:lang w:eastAsia="zh-CN"/>
              </w:rPr>
              <w:t>绝对误差</w:t>
            </w:r>
          </w:p>
        </w:tc>
        <w:tc>
          <w:tcPr>
            <w:tcW w:w="317" w:type="pct"/>
            <w:tcBorders>
              <w:bottom w:val="single" w:color="000000" w:sz="6" w:space="0"/>
            </w:tcBorders>
            <w:noWrap w:val="0"/>
            <w:vAlign w:val="center"/>
          </w:tcPr>
          <w:p w14:paraId="55E0C0D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eastAsia="zh-CN"/>
              </w:rPr>
              <w:t>系统偏差</w:t>
            </w:r>
          </w:p>
        </w:tc>
        <w:tc>
          <w:tcPr>
            <w:tcW w:w="376" w:type="pct"/>
            <w:tcBorders>
              <w:bottom w:val="single" w:color="000000" w:sz="6" w:space="0"/>
            </w:tcBorders>
            <w:noWrap w:val="0"/>
            <w:vAlign w:val="center"/>
          </w:tcPr>
          <w:p w14:paraId="16E3DC3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i/>
                <w:iCs/>
                <w:sz w:val="18"/>
                <w:szCs w:val="18"/>
                <w:lang w:val="en-US" w:eastAsia="zh-CN"/>
              </w:rPr>
            </w:pPr>
            <w:r>
              <w:rPr>
                <w:rFonts w:hint="default" w:ascii="Times New Roman" w:hAnsi="Times New Roman" w:cs="Times New Roman"/>
                <w:i/>
                <w:iCs/>
                <w:sz w:val="18"/>
                <w:szCs w:val="18"/>
                <w:lang w:eastAsia="zh-CN"/>
              </w:rPr>
              <w:t>R</w:t>
            </w:r>
            <w:r>
              <w:rPr>
                <w:rFonts w:hint="default" w:ascii="Times New Roman" w:hAnsi="Times New Roman" w:cs="Times New Roman"/>
                <w:i/>
                <w:iCs/>
                <w:sz w:val="18"/>
                <w:szCs w:val="18"/>
                <w:vertAlign w:val="subscript"/>
                <w:lang w:val="en-US" w:eastAsia="zh-CN"/>
              </w:rPr>
              <w:t>p</w:t>
            </w:r>
            <w:r>
              <w:rPr>
                <w:rFonts w:hint="default" w:ascii="Times New Roman" w:hAnsi="Times New Roman" w:cs="Times New Roman"/>
                <w:i/>
                <w:iCs/>
                <w:sz w:val="18"/>
                <w:szCs w:val="18"/>
                <w:lang w:eastAsia="zh-CN"/>
              </w:rPr>
              <w:t>²</w:t>
            </w:r>
          </w:p>
        </w:tc>
        <w:tc>
          <w:tcPr>
            <w:tcW w:w="317" w:type="pct"/>
            <w:tcBorders>
              <w:bottom w:val="single" w:color="000000" w:sz="6" w:space="0"/>
            </w:tcBorders>
            <w:noWrap w:val="0"/>
            <w:vAlign w:val="center"/>
          </w:tcPr>
          <w:p w14:paraId="39CA915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i/>
                <w:iCs/>
                <w:sz w:val="18"/>
                <w:szCs w:val="18"/>
                <w:lang w:val="en-US" w:eastAsia="zh-CN"/>
              </w:rPr>
            </w:pPr>
            <w:r>
              <w:rPr>
                <w:rFonts w:hint="default" w:ascii="Times New Roman" w:hAnsi="Times New Roman" w:cs="Times New Roman"/>
                <w:i/>
                <w:iCs/>
                <w:sz w:val="18"/>
                <w:szCs w:val="18"/>
                <w:lang w:eastAsia="zh-CN"/>
              </w:rPr>
              <w:t>SE</w:t>
            </w:r>
            <w:r>
              <w:rPr>
                <w:rFonts w:hint="default" w:ascii="Times New Roman" w:hAnsi="Times New Roman" w:cs="Times New Roman"/>
                <w:i/>
                <w:iCs/>
                <w:sz w:val="18"/>
                <w:szCs w:val="18"/>
                <w:lang w:val="en-US" w:eastAsia="zh-CN"/>
              </w:rPr>
              <w:t>P</w:t>
            </w:r>
          </w:p>
        </w:tc>
        <w:tc>
          <w:tcPr>
            <w:tcW w:w="317" w:type="pct"/>
            <w:tcBorders>
              <w:bottom w:val="single" w:color="000000" w:sz="6" w:space="0"/>
            </w:tcBorders>
            <w:noWrap w:val="0"/>
            <w:vAlign w:val="center"/>
          </w:tcPr>
          <w:p w14:paraId="78A397D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i/>
                <w:iCs/>
                <w:sz w:val="18"/>
                <w:szCs w:val="18"/>
                <w:lang w:val="en-US" w:eastAsia="zh-CN"/>
              </w:rPr>
            </w:pPr>
            <w:r>
              <w:rPr>
                <w:rFonts w:hint="default" w:ascii="Times New Roman" w:hAnsi="Times New Roman" w:cs="Times New Roman"/>
                <w:i/>
                <w:iCs/>
                <w:sz w:val="18"/>
                <w:szCs w:val="18"/>
                <w:lang w:val="en-US" w:eastAsia="zh-CN"/>
              </w:rPr>
              <w:t>RPD</w:t>
            </w:r>
          </w:p>
        </w:tc>
      </w:tr>
      <w:tr w14:paraId="4A97F832">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14" w:type="pct"/>
            <w:tcBorders>
              <w:right w:val="nil"/>
            </w:tcBorders>
            <w:noWrap w:val="0"/>
            <w:vAlign w:val="center"/>
          </w:tcPr>
          <w:p w14:paraId="36ABE71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w:t>
            </w:r>
          </w:p>
        </w:tc>
        <w:tc>
          <w:tcPr>
            <w:tcW w:w="360" w:type="pct"/>
            <w:tcBorders>
              <w:left w:val="nil"/>
            </w:tcBorders>
            <w:noWrap w:val="0"/>
            <w:vAlign w:val="center"/>
          </w:tcPr>
          <w:p w14:paraId="354A61A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3.1</w:t>
            </w:r>
          </w:p>
        </w:tc>
        <w:tc>
          <w:tcPr>
            <w:tcW w:w="375" w:type="pct"/>
            <w:noWrap w:val="0"/>
            <w:vAlign w:val="center"/>
          </w:tcPr>
          <w:p w14:paraId="2B873C7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sz w:val="18"/>
                <w:szCs w:val="18"/>
                <w:lang w:val="en-US" w:eastAsia="zh-CN"/>
              </w:rPr>
            </w:pPr>
            <w:r>
              <w:rPr>
                <w:rFonts w:hint="eastAsia" w:ascii="Times New Roman" w:hAnsi="Times New Roman"/>
                <w:sz w:val="18"/>
                <w:szCs w:val="18"/>
                <w:lang w:val="en-US" w:eastAsia="zh-CN"/>
              </w:rPr>
              <w:t>4.17</w:t>
            </w:r>
          </w:p>
        </w:tc>
        <w:tc>
          <w:tcPr>
            <w:tcW w:w="350" w:type="pct"/>
            <w:noWrap w:val="0"/>
            <w:vAlign w:val="center"/>
          </w:tcPr>
          <w:p w14:paraId="0D37DE4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sz w:val="18"/>
                <w:szCs w:val="18"/>
                <w:lang w:val="en-US" w:eastAsia="zh-CN"/>
              </w:rPr>
            </w:pPr>
            <w:r>
              <w:rPr>
                <w:rFonts w:hint="eastAsia" w:ascii="Times New Roman" w:hAnsi="Times New Roman"/>
                <w:sz w:val="18"/>
                <w:szCs w:val="18"/>
                <w:lang w:val="en-US" w:eastAsia="zh-CN"/>
              </w:rPr>
              <w:t>1.07</w:t>
            </w:r>
          </w:p>
        </w:tc>
        <w:tc>
          <w:tcPr>
            <w:tcW w:w="375" w:type="pct"/>
            <w:vMerge w:val="restart"/>
            <w:noWrap w:val="0"/>
            <w:vAlign w:val="center"/>
          </w:tcPr>
          <w:p w14:paraId="13EC207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sz w:val="18"/>
                <w:szCs w:val="18"/>
                <w:lang w:val="en-US" w:eastAsia="zh-CN"/>
              </w:rPr>
            </w:pPr>
            <w:r>
              <w:rPr>
                <w:rFonts w:hint="eastAsia" w:ascii="Times New Roman" w:hAnsi="Times New Roman"/>
                <w:sz w:val="18"/>
                <w:szCs w:val="18"/>
                <w:lang w:val="en-US" w:eastAsia="zh-CN"/>
              </w:rPr>
              <w:t>0.016</w:t>
            </w:r>
          </w:p>
        </w:tc>
        <w:tc>
          <w:tcPr>
            <w:tcW w:w="375" w:type="pct"/>
            <w:vMerge w:val="restart"/>
            <w:noWrap w:val="0"/>
            <w:vAlign w:val="center"/>
          </w:tcPr>
          <w:p w14:paraId="6CC8A17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sz w:val="18"/>
                <w:szCs w:val="18"/>
                <w:lang w:val="en-US" w:eastAsia="zh-CN"/>
              </w:rPr>
            </w:pPr>
            <w:r>
              <w:rPr>
                <w:rFonts w:hint="eastAsia" w:ascii="Times New Roman" w:hAnsi="Times New Roman"/>
                <w:sz w:val="18"/>
                <w:szCs w:val="18"/>
                <w:lang w:val="en-US" w:eastAsia="zh-CN"/>
              </w:rPr>
              <w:t>0.973</w:t>
            </w:r>
          </w:p>
        </w:tc>
        <w:tc>
          <w:tcPr>
            <w:tcW w:w="375" w:type="pct"/>
            <w:vMerge w:val="restart"/>
            <w:noWrap w:val="0"/>
            <w:vAlign w:val="center"/>
          </w:tcPr>
          <w:p w14:paraId="039ECB5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sz w:val="18"/>
                <w:szCs w:val="18"/>
                <w:lang w:val="en-US" w:eastAsia="zh-CN"/>
              </w:rPr>
            </w:pPr>
            <w:r>
              <w:rPr>
                <w:rFonts w:hint="eastAsia" w:ascii="Times New Roman" w:hAnsi="Times New Roman"/>
                <w:sz w:val="18"/>
                <w:szCs w:val="18"/>
                <w:lang w:val="en-US" w:eastAsia="zh-CN"/>
              </w:rPr>
              <w:t>1.144</w:t>
            </w:r>
          </w:p>
        </w:tc>
        <w:tc>
          <w:tcPr>
            <w:tcW w:w="316" w:type="pct"/>
            <w:vMerge w:val="restart"/>
            <w:noWrap w:val="0"/>
            <w:vAlign w:val="center"/>
          </w:tcPr>
          <w:p w14:paraId="098811E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sz w:val="18"/>
                <w:szCs w:val="18"/>
                <w:lang w:val="en-US" w:eastAsia="zh-CN"/>
              </w:rPr>
            </w:pPr>
            <w:r>
              <w:rPr>
                <w:rFonts w:hint="eastAsia" w:ascii="Times New Roman" w:hAnsi="Times New Roman"/>
                <w:sz w:val="18"/>
                <w:szCs w:val="18"/>
                <w:lang w:val="en-US" w:eastAsia="zh-CN"/>
              </w:rPr>
              <w:t>6.03</w:t>
            </w:r>
          </w:p>
        </w:tc>
        <w:tc>
          <w:tcPr>
            <w:tcW w:w="375" w:type="pct"/>
            <w:noWrap w:val="0"/>
            <w:vAlign w:val="center"/>
          </w:tcPr>
          <w:p w14:paraId="7D69E62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2.83</w:t>
            </w:r>
          </w:p>
        </w:tc>
        <w:tc>
          <w:tcPr>
            <w:tcW w:w="350" w:type="pct"/>
            <w:noWrap w:val="0"/>
            <w:vAlign w:val="center"/>
          </w:tcPr>
          <w:p w14:paraId="7947502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-0.27</w:t>
            </w:r>
          </w:p>
        </w:tc>
        <w:tc>
          <w:tcPr>
            <w:tcW w:w="317" w:type="pct"/>
            <w:vMerge w:val="restart"/>
            <w:noWrap w:val="0"/>
            <w:vAlign w:val="center"/>
          </w:tcPr>
          <w:p w14:paraId="45DBD75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sz w:val="18"/>
                <w:szCs w:val="18"/>
                <w:lang w:val="en-US" w:eastAsia="zh-CN"/>
              </w:rPr>
            </w:pPr>
            <w:r>
              <w:rPr>
                <w:rFonts w:hint="eastAsia" w:ascii="Times New Roman" w:hAnsi="Times New Roman"/>
                <w:sz w:val="18"/>
                <w:szCs w:val="18"/>
                <w:lang w:val="en-US" w:eastAsia="zh-CN"/>
              </w:rPr>
              <w:t>0.12</w:t>
            </w:r>
          </w:p>
        </w:tc>
        <w:tc>
          <w:tcPr>
            <w:tcW w:w="376" w:type="pct"/>
            <w:vMerge w:val="restart"/>
            <w:noWrap w:val="0"/>
            <w:vAlign w:val="center"/>
          </w:tcPr>
          <w:p w14:paraId="0F7D50A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sz w:val="18"/>
                <w:szCs w:val="18"/>
                <w:lang w:val="en-US" w:eastAsia="zh-CN"/>
              </w:rPr>
            </w:pPr>
            <w:r>
              <w:rPr>
                <w:rFonts w:hint="eastAsia" w:ascii="Times New Roman" w:hAnsi="Times New Roman"/>
                <w:sz w:val="18"/>
                <w:szCs w:val="18"/>
                <w:lang w:val="en-US" w:eastAsia="zh-CN"/>
              </w:rPr>
              <w:t>0.978</w:t>
            </w:r>
          </w:p>
        </w:tc>
        <w:tc>
          <w:tcPr>
            <w:tcW w:w="317" w:type="pct"/>
            <w:vMerge w:val="restart"/>
            <w:noWrap w:val="0"/>
            <w:vAlign w:val="center"/>
          </w:tcPr>
          <w:p w14:paraId="4CA5BCD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sz w:val="18"/>
                <w:szCs w:val="18"/>
                <w:lang w:val="en-US" w:eastAsia="zh-CN"/>
              </w:rPr>
            </w:pPr>
            <w:r>
              <w:rPr>
                <w:rFonts w:hint="eastAsia" w:ascii="Times New Roman" w:hAnsi="Times New Roman"/>
                <w:sz w:val="18"/>
                <w:szCs w:val="18"/>
                <w:lang w:val="en-US" w:eastAsia="zh-CN"/>
              </w:rPr>
              <w:t>1.02</w:t>
            </w:r>
          </w:p>
        </w:tc>
        <w:tc>
          <w:tcPr>
            <w:tcW w:w="317" w:type="pct"/>
            <w:vMerge w:val="restart"/>
            <w:noWrap w:val="0"/>
            <w:vAlign w:val="center"/>
          </w:tcPr>
          <w:p w14:paraId="67A75F1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6.77</w:t>
            </w:r>
          </w:p>
        </w:tc>
      </w:tr>
      <w:tr w14:paraId="3722F350">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14" w:type="pct"/>
            <w:tcBorders>
              <w:right w:val="nil"/>
            </w:tcBorders>
            <w:noWrap w:val="0"/>
            <w:vAlign w:val="center"/>
          </w:tcPr>
          <w:p w14:paraId="156E083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w:t>
            </w:r>
          </w:p>
        </w:tc>
        <w:tc>
          <w:tcPr>
            <w:tcW w:w="360" w:type="pct"/>
            <w:tcBorders>
              <w:left w:val="nil"/>
            </w:tcBorders>
            <w:noWrap w:val="0"/>
            <w:vAlign w:val="center"/>
          </w:tcPr>
          <w:p w14:paraId="766CD2A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sz w:val="18"/>
                <w:szCs w:val="18"/>
                <w:lang w:val="en-US" w:eastAsia="zh-CN"/>
              </w:rPr>
            </w:pPr>
            <w:r>
              <w:rPr>
                <w:rFonts w:hint="eastAsia" w:ascii="Times New Roman" w:hAnsi="Times New Roman"/>
                <w:sz w:val="18"/>
                <w:szCs w:val="18"/>
                <w:lang w:val="en-US" w:eastAsia="zh-CN"/>
              </w:rPr>
              <w:t>3.2</w:t>
            </w:r>
          </w:p>
        </w:tc>
        <w:tc>
          <w:tcPr>
            <w:tcW w:w="375" w:type="pct"/>
            <w:noWrap w:val="0"/>
            <w:vAlign w:val="center"/>
          </w:tcPr>
          <w:p w14:paraId="4E4E4CB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sz w:val="18"/>
                <w:szCs w:val="18"/>
                <w:lang w:val="en-US" w:eastAsia="zh-CN"/>
              </w:rPr>
            </w:pPr>
            <w:r>
              <w:rPr>
                <w:rFonts w:hint="eastAsia" w:ascii="Times New Roman" w:hAnsi="Times New Roman"/>
                <w:sz w:val="18"/>
                <w:szCs w:val="18"/>
                <w:lang w:val="en-US" w:eastAsia="zh-CN"/>
              </w:rPr>
              <w:t>4.45</w:t>
            </w:r>
          </w:p>
        </w:tc>
        <w:tc>
          <w:tcPr>
            <w:tcW w:w="350" w:type="pct"/>
            <w:noWrap w:val="0"/>
            <w:vAlign w:val="center"/>
          </w:tcPr>
          <w:p w14:paraId="7F678E4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1.25</w:t>
            </w:r>
          </w:p>
        </w:tc>
        <w:tc>
          <w:tcPr>
            <w:tcW w:w="375" w:type="pct"/>
            <w:vMerge w:val="continue"/>
            <w:noWrap w:val="0"/>
            <w:vAlign w:val="center"/>
          </w:tcPr>
          <w:p w14:paraId="6FFB33E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1FEC003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024E3F6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6" w:type="pct"/>
            <w:vMerge w:val="continue"/>
            <w:noWrap w:val="0"/>
            <w:vAlign w:val="center"/>
          </w:tcPr>
          <w:p w14:paraId="3111765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noWrap w:val="0"/>
            <w:vAlign w:val="center"/>
          </w:tcPr>
          <w:p w14:paraId="1BC6D4A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4.50</w:t>
            </w:r>
          </w:p>
        </w:tc>
        <w:tc>
          <w:tcPr>
            <w:tcW w:w="350" w:type="pct"/>
            <w:noWrap w:val="0"/>
            <w:vAlign w:val="center"/>
          </w:tcPr>
          <w:p w14:paraId="3CD9C6F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1.30</w:t>
            </w:r>
          </w:p>
        </w:tc>
        <w:tc>
          <w:tcPr>
            <w:tcW w:w="317" w:type="pct"/>
            <w:vMerge w:val="continue"/>
            <w:noWrap w:val="0"/>
            <w:vAlign w:val="center"/>
          </w:tcPr>
          <w:p w14:paraId="5C69219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6" w:type="pct"/>
            <w:vMerge w:val="continue"/>
            <w:noWrap w:val="0"/>
            <w:vAlign w:val="center"/>
          </w:tcPr>
          <w:p w14:paraId="6C7F8F3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66FE9A1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4A4DFCB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r>
      <w:tr w14:paraId="1AB1DF00">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PrEx>
        <w:trPr>
          <w:trHeight w:val="340" w:hRule="exact"/>
          <w:jc w:val="center"/>
        </w:trPr>
        <w:tc>
          <w:tcPr>
            <w:tcW w:w="414" w:type="pct"/>
            <w:tcBorders>
              <w:right w:val="nil"/>
            </w:tcBorders>
            <w:noWrap w:val="0"/>
            <w:vAlign w:val="center"/>
          </w:tcPr>
          <w:p w14:paraId="6ED7D57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3</w:t>
            </w:r>
          </w:p>
        </w:tc>
        <w:tc>
          <w:tcPr>
            <w:tcW w:w="360" w:type="pct"/>
            <w:tcBorders>
              <w:left w:val="nil"/>
            </w:tcBorders>
            <w:noWrap w:val="0"/>
            <w:vAlign w:val="center"/>
          </w:tcPr>
          <w:p w14:paraId="5F742A7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3.3</w:t>
            </w:r>
          </w:p>
        </w:tc>
        <w:tc>
          <w:tcPr>
            <w:tcW w:w="375" w:type="pct"/>
            <w:noWrap w:val="0"/>
            <w:vAlign w:val="center"/>
          </w:tcPr>
          <w:p w14:paraId="5D0475F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4.66</w:t>
            </w:r>
          </w:p>
        </w:tc>
        <w:tc>
          <w:tcPr>
            <w:tcW w:w="350" w:type="pct"/>
            <w:noWrap w:val="0"/>
            <w:vAlign w:val="center"/>
          </w:tcPr>
          <w:p w14:paraId="00D5BC4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1.36</w:t>
            </w:r>
          </w:p>
        </w:tc>
        <w:tc>
          <w:tcPr>
            <w:tcW w:w="375" w:type="pct"/>
            <w:vMerge w:val="continue"/>
            <w:noWrap w:val="0"/>
            <w:vAlign w:val="center"/>
          </w:tcPr>
          <w:p w14:paraId="7457DC1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7A0E656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3BDFBE2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6" w:type="pct"/>
            <w:vMerge w:val="continue"/>
            <w:noWrap w:val="0"/>
            <w:vAlign w:val="center"/>
          </w:tcPr>
          <w:p w14:paraId="59ED9B7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noWrap w:val="0"/>
            <w:vAlign w:val="center"/>
          </w:tcPr>
          <w:p w14:paraId="365F053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4.52</w:t>
            </w:r>
          </w:p>
        </w:tc>
        <w:tc>
          <w:tcPr>
            <w:tcW w:w="350" w:type="pct"/>
            <w:noWrap w:val="0"/>
            <w:vAlign w:val="center"/>
          </w:tcPr>
          <w:p w14:paraId="60A0EFD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1.22</w:t>
            </w:r>
          </w:p>
        </w:tc>
        <w:tc>
          <w:tcPr>
            <w:tcW w:w="317" w:type="pct"/>
            <w:vMerge w:val="continue"/>
            <w:noWrap w:val="0"/>
            <w:vAlign w:val="center"/>
          </w:tcPr>
          <w:p w14:paraId="0D5F355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6" w:type="pct"/>
            <w:vMerge w:val="continue"/>
            <w:noWrap w:val="0"/>
            <w:vAlign w:val="center"/>
          </w:tcPr>
          <w:p w14:paraId="58E9B46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79A9752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39FEECD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r>
      <w:tr w14:paraId="34D042E9">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14" w:type="pct"/>
            <w:tcBorders>
              <w:right w:val="nil"/>
            </w:tcBorders>
            <w:noWrap w:val="0"/>
            <w:vAlign w:val="center"/>
          </w:tcPr>
          <w:p w14:paraId="120CD64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4</w:t>
            </w:r>
          </w:p>
        </w:tc>
        <w:tc>
          <w:tcPr>
            <w:tcW w:w="360" w:type="pct"/>
            <w:tcBorders>
              <w:left w:val="nil"/>
            </w:tcBorders>
            <w:noWrap w:val="0"/>
            <w:vAlign w:val="center"/>
          </w:tcPr>
          <w:p w14:paraId="077B4FC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3.5</w:t>
            </w:r>
          </w:p>
        </w:tc>
        <w:tc>
          <w:tcPr>
            <w:tcW w:w="375" w:type="pct"/>
            <w:noWrap w:val="0"/>
            <w:vAlign w:val="center"/>
          </w:tcPr>
          <w:p w14:paraId="5E56038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3.45</w:t>
            </w:r>
          </w:p>
        </w:tc>
        <w:tc>
          <w:tcPr>
            <w:tcW w:w="350" w:type="pct"/>
            <w:noWrap w:val="0"/>
            <w:vAlign w:val="center"/>
          </w:tcPr>
          <w:p w14:paraId="6E13060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-0.05</w:t>
            </w:r>
          </w:p>
        </w:tc>
        <w:tc>
          <w:tcPr>
            <w:tcW w:w="375" w:type="pct"/>
            <w:vMerge w:val="continue"/>
            <w:noWrap w:val="0"/>
            <w:vAlign w:val="center"/>
          </w:tcPr>
          <w:p w14:paraId="514D4C6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0C13B76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5D80B87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6" w:type="pct"/>
            <w:vMerge w:val="continue"/>
            <w:noWrap w:val="0"/>
            <w:vAlign w:val="center"/>
          </w:tcPr>
          <w:p w14:paraId="216D585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noWrap w:val="0"/>
            <w:vAlign w:val="center"/>
          </w:tcPr>
          <w:p w14:paraId="771AA08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2.60</w:t>
            </w:r>
          </w:p>
        </w:tc>
        <w:tc>
          <w:tcPr>
            <w:tcW w:w="350" w:type="pct"/>
            <w:noWrap w:val="0"/>
            <w:vAlign w:val="center"/>
          </w:tcPr>
          <w:p w14:paraId="6591292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-0.90</w:t>
            </w:r>
          </w:p>
        </w:tc>
        <w:tc>
          <w:tcPr>
            <w:tcW w:w="317" w:type="pct"/>
            <w:vMerge w:val="continue"/>
            <w:noWrap w:val="0"/>
            <w:vAlign w:val="center"/>
          </w:tcPr>
          <w:p w14:paraId="64E6CB5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6" w:type="pct"/>
            <w:vMerge w:val="continue"/>
            <w:noWrap w:val="0"/>
            <w:vAlign w:val="center"/>
          </w:tcPr>
          <w:p w14:paraId="4F70463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2B2EDA4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6A47BD2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r>
      <w:tr w14:paraId="304B7934">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PrEx>
        <w:trPr>
          <w:trHeight w:val="340" w:hRule="exact"/>
          <w:jc w:val="center"/>
        </w:trPr>
        <w:tc>
          <w:tcPr>
            <w:tcW w:w="414" w:type="pct"/>
            <w:tcBorders>
              <w:right w:val="nil"/>
            </w:tcBorders>
            <w:noWrap w:val="0"/>
            <w:vAlign w:val="center"/>
          </w:tcPr>
          <w:p w14:paraId="1346B57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5</w:t>
            </w:r>
          </w:p>
        </w:tc>
        <w:tc>
          <w:tcPr>
            <w:tcW w:w="360" w:type="pct"/>
            <w:tcBorders>
              <w:left w:val="nil"/>
            </w:tcBorders>
            <w:noWrap w:val="0"/>
            <w:vAlign w:val="center"/>
          </w:tcPr>
          <w:p w14:paraId="5CC096C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15.4</w:t>
            </w:r>
          </w:p>
        </w:tc>
        <w:tc>
          <w:tcPr>
            <w:tcW w:w="375" w:type="pct"/>
            <w:noWrap w:val="0"/>
            <w:vAlign w:val="center"/>
          </w:tcPr>
          <w:p w14:paraId="7D22637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17.57</w:t>
            </w:r>
          </w:p>
        </w:tc>
        <w:tc>
          <w:tcPr>
            <w:tcW w:w="350" w:type="pct"/>
            <w:noWrap w:val="0"/>
            <w:vAlign w:val="center"/>
          </w:tcPr>
          <w:p w14:paraId="0BB0CDE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2.17</w:t>
            </w:r>
          </w:p>
        </w:tc>
        <w:tc>
          <w:tcPr>
            <w:tcW w:w="375" w:type="pct"/>
            <w:vMerge w:val="continue"/>
            <w:noWrap w:val="0"/>
            <w:vAlign w:val="center"/>
          </w:tcPr>
          <w:p w14:paraId="147A7A8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0AA354F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7DC6ABD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6" w:type="pct"/>
            <w:vMerge w:val="continue"/>
            <w:noWrap w:val="0"/>
            <w:vAlign w:val="center"/>
          </w:tcPr>
          <w:p w14:paraId="6863813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noWrap w:val="0"/>
            <w:vAlign w:val="center"/>
          </w:tcPr>
          <w:p w14:paraId="619DF4B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15.59</w:t>
            </w:r>
          </w:p>
        </w:tc>
        <w:tc>
          <w:tcPr>
            <w:tcW w:w="350" w:type="pct"/>
            <w:noWrap w:val="0"/>
            <w:vAlign w:val="center"/>
          </w:tcPr>
          <w:p w14:paraId="4AA85FF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0.19</w:t>
            </w:r>
          </w:p>
        </w:tc>
        <w:tc>
          <w:tcPr>
            <w:tcW w:w="317" w:type="pct"/>
            <w:vMerge w:val="continue"/>
            <w:noWrap w:val="0"/>
            <w:vAlign w:val="center"/>
          </w:tcPr>
          <w:p w14:paraId="6FD8E0B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6" w:type="pct"/>
            <w:vMerge w:val="continue"/>
            <w:noWrap w:val="0"/>
            <w:vAlign w:val="center"/>
          </w:tcPr>
          <w:p w14:paraId="05C28D5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043DA84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104D600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r>
      <w:tr w14:paraId="39126347">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PrEx>
        <w:trPr>
          <w:trHeight w:val="340" w:hRule="exact"/>
          <w:jc w:val="center"/>
        </w:trPr>
        <w:tc>
          <w:tcPr>
            <w:tcW w:w="414" w:type="pct"/>
            <w:tcBorders>
              <w:right w:val="nil"/>
            </w:tcBorders>
            <w:noWrap w:val="0"/>
            <w:vAlign w:val="center"/>
          </w:tcPr>
          <w:p w14:paraId="47BEE18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6</w:t>
            </w:r>
          </w:p>
        </w:tc>
        <w:tc>
          <w:tcPr>
            <w:tcW w:w="360" w:type="pct"/>
            <w:tcBorders>
              <w:left w:val="nil"/>
            </w:tcBorders>
            <w:noWrap w:val="0"/>
            <w:vAlign w:val="center"/>
          </w:tcPr>
          <w:p w14:paraId="369F36E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15.5</w:t>
            </w:r>
          </w:p>
        </w:tc>
        <w:tc>
          <w:tcPr>
            <w:tcW w:w="375" w:type="pct"/>
            <w:noWrap w:val="0"/>
            <w:vAlign w:val="center"/>
          </w:tcPr>
          <w:p w14:paraId="75F651C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15.76</w:t>
            </w:r>
          </w:p>
        </w:tc>
        <w:tc>
          <w:tcPr>
            <w:tcW w:w="350" w:type="pct"/>
            <w:noWrap w:val="0"/>
            <w:vAlign w:val="center"/>
          </w:tcPr>
          <w:p w14:paraId="393A548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0.26</w:t>
            </w:r>
          </w:p>
        </w:tc>
        <w:tc>
          <w:tcPr>
            <w:tcW w:w="375" w:type="pct"/>
            <w:vMerge w:val="continue"/>
            <w:noWrap w:val="0"/>
            <w:vAlign w:val="center"/>
          </w:tcPr>
          <w:p w14:paraId="1C63E73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31C2094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7188233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6" w:type="pct"/>
            <w:vMerge w:val="continue"/>
            <w:noWrap w:val="0"/>
            <w:vAlign w:val="center"/>
          </w:tcPr>
          <w:p w14:paraId="7D216FE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noWrap w:val="0"/>
            <w:vAlign w:val="center"/>
          </w:tcPr>
          <w:p w14:paraId="44C1B9F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16.40</w:t>
            </w:r>
          </w:p>
        </w:tc>
        <w:tc>
          <w:tcPr>
            <w:tcW w:w="350" w:type="pct"/>
            <w:noWrap w:val="0"/>
            <w:vAlign w:val="center"/>
          </w:tcPr>
          <w:p w14:paraId="72F247A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0.90</w:t>
            </w:r>
          </w:p>
        </w:tc>
        <w:tc>
          <w:tcPr>
            <w:tcW w:w="317" w:type="pct"/>
            <w:vMerge w:val="continue"/>
            <w:noWrap w:val="0"/>
            <w:vAlign w:val="center"/>
          </w:tcPr>
          <w:p w14:paraId="4051674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6" w:type="pct"/>
            <w:vMerge w:val="continue"/>
            <w:noWrap w:val="0"/>
            <w:vAlign w:val="center"/>
          </w:tcPr>
          <w:p w14:paraId="0BCA9BF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2FFB874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6F5EB92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r>
      <w:tr w14:paraId="49F20000">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14" w:type="pct"/>
            <w:tcBorders>
              <w:right w:val="nil"/>
            </w:tcBorders>
            <w:noWrap w:val="0"/>
            <w:vAlign w:val="center"/>
          </w:tcPr>
          <w:p w14:paraId="575E378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7</w:t>
            </w:r>
          </w:p>
        </w:tc>
        <w:tc>
          <w:tcPr>
            <w:tcW w:w="360" w:type="pct"/>
            <w:tcBorders>
              <w:left w:val="nil"/>
            </w:tcBorders>
            <w:noWrap w:val="0"/>
            <w:vAlign w:val="center"/>
          </w:tcPr>
          <w:p w14:paraId="64C9E9C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15.6</w:t>
            </w:r>
          </w:p>
        </w:tc>
        <w:tc>
          <w:tcPr>
            <w:tcW w:w="375" w:type="pct"/>
            <w:noWrap w:val="0"/>
            <w:vAlign w:val="center"/>
          </w:tcPr>
          <w:p w14:paraId="5DC018B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16.24</w:t>
            </w:r>
          </w:p>
        </w:tc>
        <w:tc>
          <w:tcPr>
            <w:tcW w:w="350" w:type="pct"/>
            <w:noWrap w:val="0"/>
            <w:vAlign w:val="center"/>
          </w:tcPr>
          <w:p w14:paraId="1954E2F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0.64</w:t>
            </w:r>
          </w:p>
        </w:tc>
        <w:tc>
          <w:tcPr>
            <w:tcW w:w="375" w:type="pct"/>
            <w:vMerge w:val="continue"/>
            <w:noWrap w:val="0"/>
            <w:vAlign w:val="center"/>
          </w:tcPr>
          <w:p w14:paraId="75F45EB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7DBDBBB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7DB2187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6" w:type="pct"/>
            <w:vMerge w:val="continue"/>
            <w:noWrap w:val="0"/>
            <w:vAlign w:val="center"/>
          </w:tcPr>
          <w:p w14:paraId="2DFEB06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noWrap w:val="0"/>
            <w:vAlign w:val="center"/>
          </w:tcPr>
          <w:p w14:paraId="42EB025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15.17</w:t>
            </w:r>
          </w:p>
        </w:tc>
        <w:tc>
          <w:tcPr>
            <w:tcW w:w="350" w:type="pct"/>
            <w:noWrap w:val="0"/>
            <w:vAlign w:val="center"/>
          </w:tcPr>
          <w:p w14:paraId="7CA56AF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-0.43</w:t>
            </w:r>
          </w:p>
        </w:tc>
        <w:tc>
          <w:tcPr>
            <w:tcW w:w="317" w:type="pct"/>
            <w:vMerge w:val="continue"/>
            <w:noWrap w:val="0"/>
            <w:vAlign w:val="center"/>
          </w:tcPr>
          <w:p w14:paraId="2081E33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6" w:type="pct"/>
            <w:vMerge w:val="continue"/>
            <w:noWrap w:val="0"/>
            <w:vAlign w:val="center"/>
          </w:tcPr>
          <w:p w14:paraId="68C3124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4151197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22ED54B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r>
      <w:tr w14:paraId="7CE74E1D">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PrEx>
        <w:trPr>
          <w:trHeight w:val="340" w:hRule="exact"/>
          <w:jc w:val="center"/>
        </w:trPr>
        <w:tc>
          <w:tcPr>
            <w:tcW w:w="414" w:type="pct"/>
            <w:tcBorders>
              <w:right w:val="nil"/>
            </w:tcBorders>
            <w:noWrap w:val="0"/>
            <w:vAlign w:val="center"/>
          </w:tcPr>
          <w:p w14:paraId="66F9FD1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8</w:t>
            </w:r>
          </w:p>
        </w:tc>
        <w:tc>
          <w:tcPr>
            <w:tcW w:w="360" w:type="pct"/>
            <w:tcBorders>
              <w:left w:val="nil"/>
            </w:tcBorders>
            <w:noWrap w:val="0"/>
            <w:vAlign w:val="center"/>
          </w:tcPr>
          <w:p w14:paraId="1479E8F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15.6</w:t>
            </w:r>
          </w:p>
        </w:tc>
        <w:tc>
          <w:tcPr>
            <w:tcW w:w="375" w:type="pct"/>
            <w:noWrap w:val="0"/>
            <w:vAlign w:val="center"/>
          </w:tcPr>
          <w:p w14:paraId="22EEB9B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16.35</w:t>
            </w:r>
          </w:p>
        </w:tc>
        <w:tc>
          <w:tcPr>
            <w:tcW w:w="350" w:type="pct"/>
            <w:noWrap w:val="0"/>
            <w:vAlign w:val="center"/>
          </w:tcPr>
          <w:p w14:paraId="44FAD38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0.75</w:t>
            </w:r>
          </w:p>
        </w:tc>
        <w:tc>
          <w:tcPr>
            <w:tcW w:w="375" w:type="pct"/>
            <w:vMerge w:val="continue"/>
            <w:noWrap w:val="0"/>
            <w:vAlign w:val="center"/>
          </w:tcPr>
          <w:p w14:paraId="70A28DD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3458886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4DC5B32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6" w:type="pct"/>
            <w:vMerge w:val="continue"/>
            <w:noWrap w:val="0"/>
            <w:vAlign w:val="center"/>
          </w:tcPr>
          <w:p w14:paraId="7562860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noWrap w:val="0"/>
            <w:vAlign w:val="center"/>
          </w:tcPr>
          <w:p w14:paraId="6F56F73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18.52</w:t>
            </w:r>
          </w:p>
        </w:tc>
        <w:tc>
          <w:tcPr>
            <w:tcW w:w="350" w:type="pct"/>
            <w:noWrap w:val="0"/>
            <w:vAlign w:val="center"/>
          </w:tcPr>
          <w:p w14:paraId="640062E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2.92</w:t>
            </w:r>
          </w:p>
        </w:tc>
        <w:tc>
          <w:tcPr>
            <w:tcW w:w="317" w:type="pct"/>
            <w:vMerge w:val="continue"/>
            <w:noWrap w:val="0"/>
            <w:vAlign w:val="center"/>
          </w:tcPr>
          <w:p w14:paraId="7A57CC9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6" w:type="pct"/>
            <w:vMerge w:val="continue"/>
            <w:noWrap w:val="0"/>
            <w:vAlign w:val="center"/>
          </w:tcPr>
          <w:p w14:paraId="3B32053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5EF4786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38A33BD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r>
      <w:tr w14:paraId="30FEAAD3">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14" w:type="pct"/>
            <w:tcBorders>
              <w:right w:val="nil"/>
            </w:tcBorders>
            <w:noWrap w:val="0"/>
            <w:vAlign w:val="center"/>
          </w:tcPr>
          <w:p w14:paraId="6D13AC3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9</w:t>
            </w:r>
          </w:p>
        </w:tc>
        <w:tc>
          <w:tcPr>
            <w:tcW w:w="360" w:type="pct"/>
            <w:tcBorders>
              <w:left w:val="nil"/>
            </w:tcBorders>
            <w:noWrap w:val="0"/>
            <w:vAlign w:val="center"/>
          </w:tcPr>
          <w:p w14:paraId="04027E9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15.7</w:t>
            </w:r>
          </w:p>
        </w:tc>
        <w:tc>
          <w:tcPr>
            <w:tcW w:w="375" w:type="pct"/>
            <w:noWrap w:val="0"/>
            <w:vAlign w:val="center"/>
          </w:tcPr>
          <w:p w14:paraId="1BA63F7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15.72</w:t>
            </w:r>
          </w:p>
        </w:tc>
        <w:tc>
          <w:tcPr>
            <w:tcW w:w="350" w:type="pct"/>
            <w:noWrap w:val="0"/>
            <w:vAlign w:val="center"/>
          </w:tcPr>
          <w:p w14:paraId="3948070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0.02</w:t>
            </w:r>
          </w:p>
        </w:tc>
        <w:tc>
          <w:tcPr>
            <w:tcW w:w="375" w:type="pct"/>
            <w:vMerge w:val="continue"/>
            <w:noWrap w:val="0"/>
            <w:vAlign w:val="center"/>
          </w:tcPr>
          <w:p w14:paraId="45B5D19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6890BBA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7BFC709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6" w:type="pct"/>
            <w:vMerge w:val="continue"/>
            <w:noWrap w:val="0"/>
            <w:vAlign w:val="center"/>
          </w:tcPr>
          <w:p w14:paraId="5857B26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noWrap w:val="0"/>
            <w:vAlign w:val="center"/>
          </w:tcPr>
          <w:p w14:paraId="34E2E99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14.50</w:t>
            </w:r>
          </w:p>
        </w:tc>
        <w:tc>
          <w:tcPr>
            <w:tcW w:w="350" w:type="pct"/>
            <w:noWrap w:val="0"/>
            <w:vAlign w:val="center"/>
          </w:tcPr>
          <w:p w14:paraId="23A519B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-1.20</w:t>
            </w:r>
          </w:p>
        </w:tc>
        <w:tc>
          <w:tcPr>
            <w:tcW w:w="317" w:type="pct"/>
            <w:vMerge w:val="continue"/>
            <w:noWrap w:val="0"/>
            <w:vAlign w:val="center"/>
          </w:tcPr>
          <w:p w14:paraId="3EC6E8C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6" w:type="pct"/>
            <w:vMerge w:val="continue"/>
            <w:noWrap w:val="0"/>
            <w:vAlign w:val="center"/>
          </w:tcPr>
          <w:p w14:paraId="44F2138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466470D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44D14AE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r>
      <w:tr w14:paraId="72393E88">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14" w:type="pct"/>
            <w:tcBorders>
              <w:right w:val="nil"/>
            </w:tcBorders>
            <w:noWrap w:val="0"/>
            <w:vAlign w:val="center"/>
          </w:tcPr>
          <w:p w14:paraId="1ED7FCD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10</w:t>
            </w:r>
          </w:p>
        </w:tc>
        <w:tc>
          <w:tcPr>
            <w:tcW w:w="360" w:type="pct"/>
            <w:tcBorders>
              <w:left w:val="nil"/>
            </w:tcBorders>
            <w:noWrap w:val="0"/>
            <w:vAlign w:val="center"/>
          </w:tcPr>
          <w:p w14:paraId="17358E8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15.9</w:t>
            </w:r>
          </w:p>
        </w:tc>
        <w:tc>
          <w:tcPr>
            <w:tcW w:w="375" w:type="pct"/>
            <w:noWrap w:val="0"/>
            <w:vAlign w:val="center"/>
          </w:tcPr>
          <w:p w14:paraId="619A1FB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16.23</w:t>
            </w:r>
          </w:p>
        </w:tc>
        <w:tc>
          <w:tcPr>
            <w:tcW w:w="350" w:type="pct"/>
            <w:noWrap w:val="0"/>
            <w:vAlign w:val="center"/>
          </w:tcPr>
          <w:p w14:paraId="0D54CA0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0.33</w:t>
            </w:r>
          </w:p>
        </w:tc>
        <w:tc>
          <w:tcPr>
            <w:tcW w:w="375" w:type="pct"/>
            <w:vMerge w:val="continue"/>
            <w:noWrap w:val="0"/>
            <w:vAlign w:val="center"/>
          </w:tcPr>
          <w:p w14:paraId="33A0EE3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5F71901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6A9CF85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6" w:type="pct"/>
            <w:vMerge w:val="continue"/>
            <w:noWrap w:val="0"/>
            <w:vAlign w:val="center"/>
          </w:tcPr>
          <w:p w14:paraId="35EA54F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noWrap w:val="0"/>
            <w:vAlign w:val="center"/>
          </w:tcPr>
          <w:p w14:paraId="63FF6C3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16.66</w:t>
            </w:r>
          </w:p>
        </w:tc>
        <w:tc>
          <w:tcPr>
            <w:tcW w:w="350" w:type="pct"/>
            <w:noWrap w:val="0"/>
            <w:vAlign w:val="center"/>
          </w:tcPr>
          <w:p w14:paraId="6B266D7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0.76</w:t>
            </w:r>
          </w:p>
        </w:tc>
        <w:tc>
          <w:tcPr>
            <w:tcW w:w="317" w:type="pct"/>
            <w:vMerge w:val="continue"/>
            <w:noWrap w:val="0"/>
            <w:vAlign w:val="center"/>
          </w:tcPr>
          <w:p w14:paraId="68EF8E5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6" w:type="pct"/>
            <w:vMerge w:val="continue"/>
            <w:noWrap w:val="0"/>
            <w:vAlign w:val="center"/>
          </w:tcPr>
          <w:p w14:paraId="6EFFBBD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42A353E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2505236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r>
      <w:tr w14:paraId="1550AC2A">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PrEx>
        <w:trPr>
          <w:trHeight w:val="340" w:hRule="exact"/>
          <w:jc w:val="center"/>
        </w:trPr>
        <w:tc>
          <w:tcPr>
            <w:tcW w:w="414" w:type="pct"/>
            <w:tcBorders>
              <w:right w:val="nil"/>
            </w:tcBorders>
            <w:noWrap w:val="0"/>
            <w:vAlign w:val="center"/>
          </w:tcPr>
          <w:p w14:paraId="78D6E34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11</w:t>
            </w:r>
          </w:p>
        </w:tc>
        <w:tc>
          <w:tcPr>
            <w:tcW w:w="360" w:type="pct"/>
            <w:tcBorders>
              <w:left w:val="nil"/>
            </w:tcBorders>
            <w:noWrap w:val="0"/>
            <w:vAlign w:val="center"/>
          </w:tcPr>
          <w:p w14:paraId="395B7DD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15.9</w:t>
            </w:r>
          </w:p>
        </w:tc>
        <w:tc>
          <w:tcPr>
            <w:tcW w:w="375" w:type="pct"/>
            <w:noWrap w:val="0"/>
            <w:vAlign w:val="center"/>
          </w:tcPr>
          <w:p w14:paraId="7F63AAE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15.66</w:t>
            </w:r>
          </w:p>
        </w:tc>
        <w:tc>
          <w:tcPr>
            <w:tcW w:w="350" w:type="pct"/>
            <w:noWrap w:val="0"/>
            <w:vAlign w:val="center"/>
          </w:tcPr>
          <w:p w14:paraId="67A1095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-0.24</w:t>
            </w:r>
          </w:p>
        </w:tc>
        <w:tc>
          <w:tcPr>
            <w:tcW w:w="375" w:type="pct"/>
            <w:vMerge w:val="continue"/>
            <w:noWrap w:val="0"/>
            <w:vAlign w:val="center"/>
          </w:tcPr>
          <w:p w14:paraId="00DB1BB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0BC6679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4880958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6" w:type="pct"/>
            <w:vMerge w:val="continue"/>
            <w:noWrap w:val="0"/>
            <w:vAlign w:val="center"/>
          </w:tcPr>
          <w:p w14:paraId="1266D0A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noWrap w:val="0"/>
            <w:vAlign w:val="center"/>
          </w:tcPr>
          <w:p w14:paraId="3F7D898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17.41</w:t>
            </w:r>
          </w:p>
        </w:tc>
        <w:tc>
          <w:tcPr>
            <w:tcW w:w="350" w:type="pct"/>
            <w:noWrap w:val="0"/>
            <w:vAlign w:val="center"/>
          </w:tcPr>
          <w:p w14:paraId="64BB7B5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1.51</w:t>
            </w:r>
          </w:p>
        </w:tc>
        <w:tc>
          <w:tcPr>
            <w:tcW w:w="317" w:type="pct"/>
            <w:vMerge w:val="continue"/>
            <w:noWrap w:val="0"/>
            <w:vAlign w:val="center"/>
          </w:tcPr>
          <w:p w14:paraId="3105503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6" w:type="pct"/>
            <w:vMerge w:val="continue"/>
            <w:noWrap w:val="0"/>
            <w:vAlign w:val="center"/>
          </w:tcPr>
          <w:p w14:paraId="5934B12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735930D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764E124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r>
      <w:tr w14:paraId="22F6E4D5">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14" w:type="pct"/>
            <w:tcBorders>
              <w:right w:val="nil"/>
            </w:tcBorders>
            <w:noWrap w:val="0"/>
            <w:vAlign w:val="center"/>
          </w:tcPr>
          <w:p w14:paraId="2787176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12</w:t>
            </w:r>
          </w:p>
        </w:tc>
        <w:tc>
          <w:tcPr>
            <w:tcW w:w="360" w:type="pct"/>
            <w:tcBorders>
              <w:left w:val="nil"/>
            </w:tcBorders>
            <w:noWrap w:val="0"/>
            <w:vAlign w:val="center"/>
          </w:tcPr>
          <w:p w14:paraId="79F7C72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16.1</w:t>
            </w:r>
          </w:p>
        </w:tc>
        <w:tc>
          <w:tcPr>
            <w:tcW w:w="375" w:type="pct"/>
            <w:noWrap w:val="0"/>
            <w:vAlign w:val="center"/>
          </w:tcPr>
          <w:p w14:paraId="0D4016E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15.44</w:t>
            </w:r>
          </w:p>
        </w:tc>
        <w:tc>
          <w:tcPr>
            <w:tcW w:w="350" w:type="pct"/>
            <w:noWrap w:val="0"/>
            <w:vAlign w:val="center"/>
          </w:tcPr>
          <w:p w14:paraId="1923BE3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-0.66</w:t>
            </w:r>
          </w:p>
        </w:tc>
        <w:tc>
          <w:tcPr>
            <w:tcW w:w="375" w:type="pct"/>
            <w:vMerge w:val="continue"/>
            <w:noWrap w:val="0"/>
            <w:vAlign w:val="center"/>
          </w:tcPr>
          <w:p w14:paraId="7CB3DAF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307EAE0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7CCBDE8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6" w:type="pct"/>
            <w:vMerge w:val="continue"/>
            <w:noWrap w:val="0"/>
            <w:vAlign w:val="center"/>
          </w:tcPr>
          <w:p w14:paraId="386F697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noWrap w:val="0"/>
            <w:vAlign w:val="center"/>
          </w:tcPr>
          <w:p w14:paraId="10B3833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16.02</w:t>
            </w:r>
          </w:p>
        </w:tc>
        <w:tc>
          <w:tcPr>
            <w:tcW w:w="350" w:type="pct"/>
            <w:noWrap w:val="0"/>
            <w:vAlign w:val="center"/>
          </w:tcPr>
          <w:p w14:paraId="5F6E4B4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-0.08</w:t>
            </w:r>
          </w:p>
        </w:tc>
        <w:tc>
          <w:tcPr>
            <w:tcW w:w="317" w:type="pct"/>
            <w:vMerge w:val="continue"/>
            <w:noWrap w:val="0"/>
            <w:vAlign w:val="center"/>
          </w:tcPr>
          <w:p w14:paraId="521936D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6" w:type="pct"/>
            <w:vMerge w:val="continue"/>
            <w:noWrap w:val="0"/>
            <w:vAlign w:val="center"/>
          </w:tcPr>
          <w:p w14:paraId="361FE9E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25EA704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58F8256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r>
      <w:tr w14:paraId="2AA3C87C">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14" w:type="pct"/>
            <w:tcBorders>
              <w:right w:val="nil"/>
            </w:tcBorders>
            <w:noWrap w:val="0"/>
            <w:vAlign w:val="center"/>
          </w:tcPr>
          <w:p w14:paraId="2019AC4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13</w:t>
            </w:r>
          </w:p>
        </w:tc>
        <w:tc>
          <w:tcPr>
            <w:tcW w:w="360" w:type="pct"/>
            <w:tcBorders>
              <w:left w:val="nil"/>
            </w:tcBorders>
            <w:noWrap w:val="0"/>
            <w:vAlign w:val="center"/>
          </w:tcPr>
          <w:p w14:paraId="4A359BB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16.2</w:t>
            </w:r>
          </w:p>
        </w:tc>
        <w:tc>
          <w:tcPr>
            <w:tcW w:w="375" w:type="pct"/>
            <w:noWrap w:val="0"/>
            <w:vAlign w:val="center"/>
          </w:tcPr>
          <w:p w14:paraId="4DD9D04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15.72</w:t>
            </w:r>
          </w:p>
        </w:tc>
        <w:tc>
          <w:tcPr>
            <w:tcW w:w="350" w:type="pct"/>
            <w:noWrap w:val="0"/>
            <w:vAlign w:val="center"/>
          </w:tcPr>
          <w:p w14:paraId="55B8A9B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-0.48</w:t>
            </w:r>
          </w:p>
        </w:tc>
        <w:tc>
          <w:tcPr>
            <w:tcW w:w="375" w:type="pct"/>
            <w:vMerge w:val="continue"/>
            <w:noWrap w:val="0"/>
            <w:vAlign w:val="center"/>
          </w:tcPr>
          <w:p w14:paraId="3D8275C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21B3DAA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1C70D52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6" w:type="pct"/>
            <w:vMerge w:val="continue"/>
            <w:noWrap w:val="0"/>
            <w:vAlign w:val="center"/>
          </w:tcPr>
          <w:p w14:paraId="1C723F0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noWrap w:val="0"/>
            <w:vAlign w:val="center"/>
          </w:tcPr>
          <w:p w14:paraId="26E008C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16.36</w:t>
            </w:r>
          </w:p>
        </w:tc>
        <w:tc>
          <w:tcPr>
            <w:tcW w:w="350" w:type="pct"/>
            <w:noWrap w:val="0"/>
            <w:vAlign w:val="center"/>
          </w:tcPr>
          <w:p w14:paraId="0AF2AFC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0.16</w:t>
            </w:r>
          </w:p>
        </w:tc>
        <w:tc>
          <w:tcPr>
            <w:tcW w:w="317" w:type="pct"/>
            <w:vMerge w:val="continue"/>
            <w:noWrap w:val="0"/>
            <w:vAlign w:val="center"/>
          </w:tcPr>
          <w:p w14:paraId="0AB46E1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6" w:type="pct"/>
            <w:vMerge w:val="continue"/>
            <w:noWrap w:val="0"/>
            <w:vAlign w:val="center"/>
          </w:tcPr>
          <w:p w14:paraId="3ECE769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049B6FD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3FD0E49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r>
      <w:tr w14:paraId="244ED05F">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14" w:type="pct"/>
            <w:tcBorders>
              <w:right w:val="nil"/>
            </w:tcBorders>
            <w:noWrap w:val="0"/>
            <w:vAlign w:val="center"/>
          </w:tcPr>
          <w:p w14:paraId="510481B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14</w:t>
            </w:r>
          </w:p>
        </w:tc>
        <w:tc>
          <w:tcPr>
            <w:tcW w:w="360" w:type="pct"/>
            <w:tcBorders>
              <w:left w:val="nil"/>
            </w:tcBorders>
            <w:noWrap w:val="0"/>
            <w:vAlign w:val="center"/>
          </w:tcPr>
          <w:p w14:paraId="5EAAA4B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16.2</w:t>
            </w:r>
          </w:p>
        </w:tc>
        <w:tc>
          <w:tcPr>
            <w:tcW w:w="375" w:type="pct"/>
            <w:noWrap w:val="0"/>
            <w:vAlign w:val="center"/>
          </w:tcPr>
          <w:p w14:paraId="573DD6B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16.04</w:t>
            </w:r>
          </w:p>
        </w:tc>
        <w:tc>
          <w:tcPr>
            <w:tcW w:w="350" w:type="pct"/>
            <w:noWrap w:val="0"/>
            <w:vAlign w:val="center"/>
          </w:tcPr>
          <w:p w14:paraId="4207028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-0.16</w:t>
            </w:r>
          </w:p>
        </w:tc>
        <w:tc>
          <w:tcPr>
            <w:tcW w:w="375" w:type="pct"/>
            <w:vMerge w:val="continue"/>
            <w:noWrap w:val="0"/>
            <w:vAlign w:val="center"/>
          </w:tcPr>
          <w:p w14:paraId="3A9D2CD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0CC2CB4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5FF2C59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6" w:type="pct"/>
            <w:vMerge w:val="continue"/>
            <w:noWrap w:val="0"/>
            <w:vAlign w:val="center"/>
          </w:tcPr>
          <w:p w14:paraId="1E8DDF4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noWrap w:val="0"/>
            <w:vAlign w:val="center"/>
          </w:tcPr>
          <w:p w14:paraId="24EF073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16.39</w:t>
            </w:r>
          </w:p>
        </w:tc>
        <w:tc>
          <w:tcPr>
            <w:tcW w:w="350" w:type="pct"/>
            <w:noWrap w:val="0"/>
            <w:vAlign w:val="center"/>
          </w:tcPr>
          <w:p w14:paraId="04D5441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0.19</w:t>
            </w:r>
          </w:p>
        </w:tc>
        <w:tc>
          <w:tcPr>
            <w:tcW w:w="317" w:type="pct"/>
            <w:vMerge w:val="continue"/>
            <w:noWrap w:val="0"/>
            <w:vAlign w:val="center"/>
          </w:tcPr>
          <w:p w14:paraId="1BAA53F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6" w:type="pct"/>
            <w:vMerge w:val="continue"/>
            <w:noWrap w:val="0"/>
            <w:vAlign w:val="center"/>
          </w:tcPr>
          <w:p w14:paraId="00D2D0F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27BA24D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74259CC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r>
      <w:tr w14:paraId="410E5D2A">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14" w:type="pct"/>
            <w:tcBorders>
              <w:right w:val="nil"/>
            </w:tcBorders>
            <w:noWrap w:val="0"/>
            <w:vAlign w:val="center"/>
          </w:tcPr>
          <w:p w14:paraId="3948305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15</w:t>
            </w:r>
          </w:p>
        </w:tc>
        <w:tc>
          <w:tcPr>
            <w:tcW w:w="360" w:type="pct"/>
            <w:tcBorders>
              <w:left w:val="nil"/>
            </w:tcBorders>
            <w:noWrap w:val="0"/>
            <w:vAlign w:val="center"/>
          </w:tcPr>
          <w:p w14:paraId="622919F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16.3</w:t>
            </w:r>
          </w:p>
        </w:tc>
        <w:tc>
          <w:tcPr>
            <w:tcW w:w="375" w:type="pct"/>
            <w:noWrap w:val="0"/>
            <w:vAlign w:val="center"/>
          </w:tcPr>
          <w:p w14:paraId="0A2D9EF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15.64</w:t>
            </w:r>
          </w:p>
        </w:tc>
        <w:tc>
          <w:tcPr>
            <w:tcW w:w="350" w:type="pct"/>
            <w:noWrap w:val="0"/>
            <w:vAlign w:val="center"/>
          </w:tcPr>
          <w:p w14:paraId="2056F27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-0.66</w:t>
            </w:r>
          </w:p>
        </w:tc>
        <w:tc>
          <w:tcPr>
            <w:tcW w:w="375" w:type="pct"/>
            <w:vMerge w:val="continue"/>
            <w:noWrap w:val="0"/>
            <w:vAlign w:val="center"/>
          </w:tcPr>
          <w:p w14:paraId="15DAD1C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7C3E349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7CCF91E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6" w:type="pct"/>
            <w:vMerge w:val="continue"/>
            <w:noWrap w:val="0"/>
            <w:vAlign w:val="center"/>
          </w:tcPr>
          <w:p w14:paraId="6B05BEE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noWrap w:val="0"/>
            <w:vAlign w:val="center"/>
          </w:tcPr>
          <w:p w14:paraId="68F0357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16.74</w:t>
            </w:r>
          </w:p>
        </w:tc>
        <w:tc>
          <w:tcPr>
            <w:tcW w:w="350" w:type="pct"/>
            <w:noWrap w:val="0"/>
            <w:vAlign w:val="center"/>
          </w:tcPr>
          <w:p w14:paraId="4468A07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0.44</w:t>
            </w:r>
          </w:p>
        </w:tc>
        <w:tc>
          <w:tcPr>
            <w:tcW w:w="317" w:type="pct"/>
            <w:vMerge w:val="continue"/>
            <w:noWrap w:val="0"/>
            <w:vAlign w:val="center"/>
          </w:tcPr>
          <w:p w14:paraId="51A72D2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6" w:type="pct"/>
            <w:vMerge w:val="continue"/>
            <w:noWrap w:val="0"/>
            <w:vAlign w:val="center"/>
          </w:tcPr>
          <w:p w14:paraId="7247194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1A11FBB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746BC17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r>
      <w:tr w14:paraId="3B844C49">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14" w:type="pct"/>
            <w:tcBorders>
              <w:right w:val="nil"/>
            </w:tcBorders>
            <w:noWrap w:val="0"/>
            <w:vAlign w:val="center"/>
          </w:tcPr>
          <w:p w14:paraId="582B396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16</w:t>
            </w:r>
          </w:p>
        </w:tc>
        <w:tc>
          <w:tcPr>
            <w:tcW w:w="360" w:type="pct"/>
            <w:tcBorders>
              <w:left w:val="nil"/>
            </w:tcBorders>
            <w:noWrap w:val="0"/>
            <w:vAlign w:val="center"/>
          </w:tcPr>
          <w:p w14:paraId="367094A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16.4</w:t>
            </w:r>
          </w:p>
        </w:tc>
        <w:tc>
          <w:tcPr>
            <w:tcW w:w="375" w:type="pct"/>
            <w:noWrap w:val="0"/>
            <w:vAlign w:val="center"/>
          </w:tcPr>
          <w:p w14:paraId="5424925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16.76</w:t>
            </w:r>
          </w:p>
        </w:tc>
        <w:tc>
          <w:tcPr>
            <w:tcW w:w="350" w:type="pct"/>
            <w:noWrap w:val="0"/>
            <w:vAlign w:val="center"/>
          </w:tcPr>
          <w:p w14:paraId="1EBE00C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0.36</w:t>
            </w:r>
          </w:p>
        </w:tc>
        <w:tc>
          <w:tcPr>
            <w:tcW w:w="375" w:type="pct"/>
            <w:vMerge w:val="continue"/>
            <w:noWrap w:val="0"/>
            <w:vAlign w:val="center"/>
          </w:tcPr>
          <w:p w14:paraId="45CBC05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15E2134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0C8157C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6" w:type="pct"/>
            <w:vMerge w:val="continue"/>
            <w:noWrap w:val="0"/>
            <w:vAlign w:val="center"/>
          </w:tcPr>
          <w:p w14:paraId="4903BAB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noWrap w:val="0"/>
            <w:vAlign w:val="center"/>
          </w:tcPr>
          <w:p w14:paraId="0035547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16.10</w:t>
            </w:r>
          </w:p>
        </w:tc>
        <w:tc>
          <w:tcPr>
            <w:tcW w:w="350" w:type="pct"/>
            <w:noWrap w:val="0"/>
            <w:vAlign w:val="center"/>
          </w:tcPr>
          <w:p w14:paraId="784A31B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-0.30</w:t>
            </w:r>
          </w:p>
        </w:tc>
        <w:tc>
          <w:tcPr>
            <w:tcW w:w="317" w:type="pct"/>
            <w:vMerge w:val="continue"/>
            <w:noWrap w:val="0"/>
            <w:vAlign w:val="center"/>
          </w:tcPr>
          <w:p w14:paraId="5B13838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6" w:type="pct"/>
            <w:vMerge w:val="continue"/>
            <w:noWrap w:val="0"/>
            <w:vAlign w:val="center"/>
          </w:tcPr>
          <w:p w14:paraId="3E4974C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471312D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1CE0563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r>
      <w:tr w14:paraId="40D72D89">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14" w:type="pct"/>
            <w:tcBorders>
              <w:right w:val="nil"/>
            </w:tcBorders>
            <w:noWrap w:val="0"/>
            <w:vAlign w:val="center"/>
          </w:tcPr>
          <w:p w14:paraId="6AE3FB1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17</w:t>
            </w:r>
          </w:p>
        </w:tc>
        <w:tc>
          <w:tcPr>
            <w:tcW w:w="360" w:type="pct"/>
            <w:tcBorders>
              <w:left w:val="nil"/>
            </w:tcBorders>
            <w:noWrap w:val="0"/>
            <w:vAlign w:val="center"/>
          </w:tcPr>
          <w:p w14:paraId="1F02ABB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16.5</w:t>
            </w:r>
          </w:p>
        </w:tc>
        <w:tc>
          <w:tcPr>
            <w:tcW w:w="375" w:type="pct"/>
            <w:noWrap w:val="0"/>
            <w:vAlign w:val="center"/>
          </w:tcPr>
          <w:p w14:paraId="641EAD4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15.19</w:t>
            </w:r>
          </w:p>
        </w:tc>
        <w:tc>
          <w:tcPr>
            <w:tcW w:w="350" w:type="pct"/>
            <w:noWrap w:val="0"/>
            <w:vAlign w:val="center"/>
          </w:tcPr>
          <w:p w14:paraId="3102D52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-1.31</w:t>
            </w:r>
          </w:p>
        </w:tc>
        <w:tc>
          <w:tcPr>
            <w:tcW w:w="375" w:type="pct"/>
            <w:vMerge w:val="continue"/>
            <w:noWrap w:val="0"/>
            <w:vAlign w:val="center"/>
          </w:tcPr>
          <w:p w14:paraId="4FD96FB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43701E3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374DADB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6" w:type="pct"/>
            <w:vMerge w:val="continue"/>
            <w:noWrap w:val="0"/>
            <w:vAlign w:val="center"/>
          </w:tcPr>
          <w:p w14:paraId="17A931D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noWrap w:val="0"/>
            <w:vAlign w:val="center"/>
          </w:tcPr>
          <w:p w14:paraId="5F08623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17.05</w:t>
            </w:r>
          </w:p>
        </w:tc>
        <w:tc>
          <w:tcPr>
            <w:tcW w:w="350" w:type="pct"/>
            <w:noWrap w:val="0"/>
            <w:vAlign w:val="center"/>
          </w:tcPr>
          <w:p w14:paraId="4B3446C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0.55</w:t>
            </w:r>
          </w:p>
        </w:tc>
        <w:tc>
          <w:tcPr>
            <w:tcW w:w="317" w:type="pct"/>
            <w:vMerge w:val="continue"/>
            <w:noWrap w:val="0"/>
            <w:vAlign w:val="center"/>
          </w:tcPr>
          <w:p w14:paraId="708AD25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6" w:type="pct"/>
            <w:vMerge w:val="continue"/>
            <w:noWrap w:val="0"/>
            <w:vAlign w:val="center"/>
          </w:tcPr>
          <w:p w14:paraId="33F0300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5B0888C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4671BEC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r>
      <w:tr w14:paraId="517E73CC">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14" w:type="pct"/>
            <w:tcBorders>
              <w:right w:val="nil"/>
            </w:tcBorders>
            <w:noWrap w:val="0"/>
            <w:vAlign w:val="center"/>
          </w:tcPr>
          <w:p w14:paraId="2AE0666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18</w:t>
            </w:r>
          </w:p>
        </w:tc>
        <w:tc>
          <w:tcPr>
            <w:tcW w:w="360" w:type="pct"/>
            <w:tcBorders>
              <w:left w:val="nil"/>
            </w:tcBorders>
            <w:noWrap w:val="0"/>
            <w:vAlign w:val="center"/>
          </w:tcPr>
          <w:p w14:paraId="0EE63CA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16.5</w:t>
            </w:r>
          </w:p>
        </w:tc>
        <w:tc>
          <w:tcPr>
            <w:tcW w:w="375" w:type="pct"/>
            <w:noWrap w:val="0"/>
            <w:vAlign w:val="center"/>
          </w:tcPr>
          <w:p w14:paraId="50D1AC0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16.66</w:t>
            </w:r>
          </w:p>
        </w:tc>
        <w:tc>
          <w:tcPr>
            <w:tcW w:w="350" w:type="pct"/>
            <w:noWrap w:val="0"/>
            <w:vAlign w:val="center"/>
          </w:tcPr>
          <w:p w14:paraId="66E8143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0.16</w:t>
            </w:r>
          </w:p>
        </w:tc>
        <w:tc>
          <w:tcPr>
            <w:tcW w:w="375" w:type="pct"/>
            <w:vMerge w:val="continue"/>
            <w:noWrap w:val="0"/>
            <w:vAlign w:val="center"/>
          </w:tcPr>
          <w:p w14:paraId="710727A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7AB89B6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58971EE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6" w:type="pct"/>
            <w:vMerge w:val="continue"/>
            <w:noWrap w:val="0"/>
            <w:vAlign w:val="center"/>
          </w:tcPr>
          <w:p w14:paraId="3A40019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noWrap w:val="0"/>
            <w:vAlign w:val="center"/>
          </w:tcPr>
          <w:p w14:paraId="130972E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16.53</w:t>
            </w:r>
          </w:p>
        </w:tc>
        <w:tc>
          <w:tcPr>
            <w:tcW w:w="350" w:type="pct"/>
            <w:noWrap w:val="0"/>
            <w:vAlign w:val="center"/>
          </w:tcPr>
          <w:p w14:paraId="26ED445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0.03</w:t>
            </w:r>
          </w:p>
        </w:tc>
        <w:tc>
          <w:tcPr>
            <w:tcW w:w="317" w:type="pct"/>
            <w:vMerge w:val="continue"/>
            <w:noWrap w:val="0"/>
            <w:vAlign w:val="center"/>
          </w:tcPr>
          <w:p w14:paraId="5C469BE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6" w:type="pct"/>
            <w:vMerge w:val="continue"/>
            <w:noWrap w:val="0"/>
            <w:vAlign w:val="center"/>
          </w:tcPr>
          <w:p w14:paraId="0FCF37C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1A8EA7A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6317B8E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r>
      <w:tr w14:paraId="4E1E266E">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14" w:type="pct"/>
            <w:tcBorders>
              <w:right w:val="nil"/>
            </w:tcBorders>
            <w:noWrap w:val="0"/>
            <w:vAlign w:val="center"/>
          </w:tcPr>
          <w:p w14:paraId="66BD9BA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19</w:t>
            </w:r>
          </w:p>
        </w:tc>
        <w:tc>
          <w:tcPr>
            <w:tcW w:w="360" w:type="pct"/>
            <w:tcBorders>
              <w:left w:val="nil"/>
            </w:tcBorders>
            <w:noWrap w:val="0"/>
            <w:vAlign w:val="center"/>
          </w:tcPr>
          <w:p w14:paraId="3DCE558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16.6</w:t>
            </w:r>
          </w:p>
        </w:tc>
        <w:tc>
          <w:tcPr>
            <w:tcW w:w="375" w:type="pct"/>
            <w:noWrap w:val="0"/>
            <w:vAlign w:val="center"/>
          </w:tcPr>
          <w:p w14:paraId="75EF15C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16.09</w:t>
            </w:r>
          </w:p>
        </w:tc>
        <w:tc>
          <w:tcPr>
            <w:tcW w:w="350" w:type="pct"/>
            <w:noWrap w:val="0"/>
            <w:vAlign w:val="center"/>
          </w:tcPr>
          <w:p w14:paraId="645E54B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-0.51</w:t>
            </w:r>
          </w:p>
        </w:tc>
        <w:tc>
          <w:tcPr>
            <w:tcW w:w="375" w:type="pct"/>
            <w:vMerge w:val="continue"/>
            <w:noWrap w:val="0"/>
            <w:vAlign w:val="center"/>
          </w:tcPr>
          <w:p w14:paraId="793E7AA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566F223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4264C88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6" w:type="pct"/>
            <w:vMerge w:val="continue"/>
            <w:noWrap w:val="0"/>
            <w:vAlign w:val="center"/>
          </w:tcPr>
          <w:p w14:paraId="7B20A9A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noWrap w:val="0"/>
            <w:vAlign w:val="center"/>
          </w:tcPr>
          <w:p w14:paraId="429E159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16.31</w:t>
            </w:r>
          </w:p>
        </w:tc>
        <w:tc>
          <w:tcPr>
            <w:tcW w:w="350" w:type="pct"/>
            <w:noWrap w:val="0"/>
            <w:vAlign w:val="center"/>
          </w:tcPr>
          <w:p w14:paraId="06DC5CB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-0.29</w:t>
            </w:r>
          </w:p>
        </w:tc>
        <w:tc>
          <w:tcPr>
            <w:tcW w:w="317" w:type="pct"/>
            <w:vMerge w:val="continue"/>
            <w:noWrap w:val="0"/>
            <w:vAlign w:val="center"/>
          </w:tcPr>
          <w:p w14:paraId="43B150C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6" w:type="pct"/>
            <w:vMerge w:val="continue"/>
            <w:noWrap w:val="0"/>
            <w:vAlign w:val="center"/>
          </w:tcPr>
          <w:p w14:paraId="10E30A2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70CF6DD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0EBE91B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r>
      <w:tr w14:paraId="6BCF75D5">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PrEx>
        <w:trPr>
          <w:trHeight w:val="340" w:hRule="exact"/>
          <w:jc w:val="center"/>
        </w:trPr>
        <w:tc>
          <w:tcPr>
            <w:tcW w:w="414" w:type="pct"/>
            <w:tcBorders>
              <w:right w:val="nil"/>
            </w:tcBorders>
            <w:noWrap w:val="0"/>
            <w:vAlign w:val="center"/>
          </w:tcPr>
          <w:p w14:paraId="28BD022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20</w:t>
            </w:r>
          </w:p>
        </w:tc>
        <w:tc>
          <w:tcPr>
            <w:tcW w:w="360" w:type="pct"/>
            <w:tcBorders>
              <w:left w:val="nil"/>
            </w:tcBorders>
            <w:noWrap w:val="0"/>
            <w:vAlign w:val="center"/>
          </w:tcPr>
          <w:p w14:paraId="02F8410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16.7</w:t>
            </w:r>
          </w:p>
        </w:tc>
        <w:tc>
          <w:tcPr>
            <w:tcW w:w="375" w:type="pct"/>
            <w:noWrap w:val="0"/>
            <w:vAlign w:val="center"/>
          </w:tcPr>
          <w:p w14:paraId="681734A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16.77</w:t>
            </w:r>
          </w:p>
        </w:tc>
        <w:tc>
          <w:tcPr>
            <w:tcW w:w="350" w:type="pct"/>
            <w:noWrap w:val="0"/>
            <w:vAlign w:val="center"/>
          </w:tcPr>
          <w:p w14:paraId="24D1F43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0.07</w:t>
            </w:r>
          </w:p>
        </w:tc>
        <w:tc>
          <w:tcPr>
            <w:tcW w:w="375" w:type="pct"/>
            <w:vMerge w:val="continue"/>
            <w:noWrap w:val="0"/>
            <w:vAlign w:val="center"/>
          </w:tcPr>
          <w:p w14:paraId="79A0B8C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0CAE588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0CA3A21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6" w:type="pct"/>
            <w:vMerge w:val="continue"/>
            <w:noWrap w:val="0"/>
            <w:vAlign w:val="center"/>
          </w:tcPr>
          <w:p w14:paraId="4F56E57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noWrap w:val="0"/>
            <w:vAlign w:val="center"/>
          </w:tcPr>
          <w:p w14:paraId="0DA4369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16.46</w:t>
            </w:r>
          </w:p>
        </w:tc>
        <w:tc>
          <w:tcPr>
            <w:tcW w:w="350" w:type="pct"/>
            <w:noWrap w:val="0"/>
            <w:vAlign w:val="center"/>
          </w:tcPr>
          <w:p w14:paraId="5FBEC41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-0.24</w:t>
            </w:r>
          </w:p>
        </w:tc>
        <w:tc>
          <w:tcPr>
            <w:tcW w:w="317" w:type="pct"/>
            <w:vMerge w:val="continue"/>
            <w:noWrap w:val="0"/>
            <w:vAlign w:val="center"/>
          </w:tcPr>
          <w:p w14:paraId="06B78FA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6" w:type="pct"/>
            <w:vMerge w:val="continue"/>
            <w:noWrap w:val="0"/>
            <w:vAlign w:val="center"/>
          </w:tcPr>
          <w:p w14:paraId="6940C1E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08435B1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4CFCCAA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r>
      <w:tr w14:paraId="333F4FEC">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PrEx>
        <w:trPr>
          <w:trHeight w:val="340" w:hRule="exact"/>
          <w:jc w:val="center"/>
        </w:trPr>
        <w:tc>
          <w:tcPr>
            <w:tcW w:w="414" w:type="pct"/>
            <w:tcBorders>
              <w:right w:val="nil"/>
            </w:tcBorders>
            <w:noWrap w:val="0"/>
            <w:vAlign w:val="center"/>
          </w:tcPr>
          <w:p w14:paraId="1395266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21</w:t>
            </w:r>
          </w:p>
        </w:tc>
        <w:tc>
          <w:tcPr>
            <w:tcW w:w="360" w:type="pct"/>
            <w:tcBorders>
              <w:left w:val="nil"/>
            </w:tcBorders>
            <w:noWrap w:val="0"/>
            <w:vAlign w:val="center"/>
          </w:tcPr>
          <w:p w14:paraId="153F8B6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16.8</w:t>
            </w:r>
          </w:p>
        </w:tc>
        <w:tc>
          <w:tcPr>
            <w:tcW w:w="375" w:type="pct"/>
            <w:noWrap w:val="0"/>
            <w:vAlign w:val="center"/>
          </w:tcPr>
          <w:p w14:paraId="4B25F32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17.69</w:t>
            </w:r>
          </w:p>
        </w:tc>
        <w:tc>
          <w:tcPr>
            <w:tcW w:w="350" w:type="pct"/>
            <w:noWrap w:val="0"/>
            <w:vAlign w:val="center"/>
          </w:tcPr>
          <w:p w14:paraId="177BE0E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0.89</w:t>
            </w:r>
          </w:p>
        </w:tc>
        <w:tc>
          <w:tcPr>
            <w:tcW w:w="375" w:type="pct"/>
            <w:vMerge w:val="continue"/>
            <w:noWrap w:val="0"/>
            <w:vAlign w:val="center"/>
          </w:tcPr>
          <w:p w14:paraId="6EFFD5C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1E4A4A2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661D9D4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6" w:type="pct"/>
            <w:vMerge w:val="continue"/>
            <w:noWrap w:val="0"/>
            <w:vAlign w:val="center"/>
          </w:tcPr>
          <w:p w14:paraId="2F408EA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noWrap w:val="0"/>
            <w:vAlign w:val="center"/>
          </w:tcPr>
          <w:p w14:paraId="19A1726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16.10</w:t>
            </w:r>
          </w:p>
        </w:tc>
        <w:tc>
          <w:tcPr>
            <w:tcW w:w="350" w:type="pct"/>
            <w:noWrap w:val="0"/>
            <w:vAlign w:val="center"/>
          </w:tcPr>
          <w:p w14:paraId="245494E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-0.70</w:t>
            </w:r>
          </w:p>
        </w:tc>
        <w:tc>
          <w:tcPr>
            <w:tcW w:w="317" w:type="pct"/>
            <w:vMerge w:val="continue"/>
            <w:noWrap w:val="0"/>
            <w:vAlign w:val="center"/>
          </w:tcPr>
          <w:p w14:paraId="28EDE3C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6" w:type="pct"/>
            <w:vMerge w:val="continue"/>
            <w:noWrap w:val="0"/>
            <w:vAlign w:val="center"/>
          </w:tcPr>
          <w:p w14:paraId="22686D6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2DFA7BE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10B9087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r>
      <w:tr w14:paraId="0AF44071">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14" w:type="pct"/>
            <w:tcBorders>
              <w:right w:val="nil"/>
            </w:tcBorders>
            <w:noWrap w:val="0"/>
            <w:vAlign w:val="center"/>
          </w:tcPr>
          <w:p w14:paraId="094B284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22</w:t>
            </w:r>
          </w:p>
        </w:tc>
        <w:tc>
          <w:tcPr>
            <w:tcW w:w="360" w:type="pct"/>
            <w:tcBorders>
              <w:left w:val="nil"/>
            </w:tcBorders>
            <w:noWrap w:val="0"/>
            <w:vAlign w:val="center"/>
          </w:tcPr>
          <w:p w14:paraId="75294D7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17.1</w:t>
            </w:r>
          </w:p>
        </w:tc>
        <w:tc>
          <w:tcPr>
            <w:tcW w:w="375" w:type="pct"/>
            <w:noWrap w:val="0"/>
            <w:vAlign w:val="center"/>
          </w:tcPr>
          <w:p w14:paraId="0EBD8EA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13.72</w:t>
            </w:r>
          </w:p>
        </w:tc>
        <w:tc>
          <w:tcPr>
            <w:tcW w:w="350" w:type="pct"/>
            <w:noWrap w:val="0"/>
            <w:vAlign w:val="center"/>
          </w:tcPr>
          <w:p w14:paraId="6F31D9F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-3.38</w:t>
            </w:r>
          </w:p>
        </w:tc>
        <w:tc>
          <w:tcPr>
            <w:tcW w:w="375" w:type="pct"/>
            <w:vMerge w:val="continue"/>
            <w:noWrap w:val="0"/>
            <w:vAlign w:val="center"/>
          </w:tcPr>
          <w:p w14:paraId="09043FE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31A90EA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69DBB93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6" w:type="pct"/>
            <w:vMerge w:val="continue"/>
            <w:noWrap w:val="0"/>
            <w:vAlign w:val="center"/>
          </w:tcPr>
          <w:p w14:paraId="701C7C6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noWrap w:val="0"/>
            <w:vAlign w:val="center"/>
          </w:tcPr>
          <w:p w14:paraId="74C9655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17.56</w:t>
            </w:r>
          </w:p>
        </w:tc>
        <w:tc>
          <w:tcPr>
            <w:tcW w:w="350" w:type="pct"/>
            <w:noWrap w:val="0"/>
            <w:vAlign w:val="center"/>
          </w:tcPr>
          <w:p w14:paraId="49BBACF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0.46</w:t>
            </w:r>
          </w:p>
        </w:tc>
        <w:tc>
          <w:tcPr>
            <w:tcW w:w="317" w:type="pct"/>
            <w:vMerge w:val="continue"/>
            <w:noWrap w:val="0"/>
            <w:vAlign w:val="center"/>
          </w:tcPr>
          <w:p w14:paraId="1F05A5A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6" w:type="pct"/>
            <w:vMerge w:val="continue"/>
            <w:noWrap w:val="0"/>
            <w:vAlign w:val="center"/>
          </w:tcPr>
          <w:p w14:paraId="6F8CB06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2B042B5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4AF8E6F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r>
      <w:tr w14:paraId="4B321BE8">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14" w:type="pct"/>
            <w:tcBorders>
              <w:right w:val="nil"/>
            </w:tcBorders>
            <w:noWrap w:val="0"/>
            <w:vAlign w:val="center"/>
          </w:tcPr>
          <w:p w14:paraId="5A8B3A0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23</w:t>
            </w:r>
          </w:p>
        </w:tc>
        <w:tc>
          <w:tcPr>
            <w:tcW w:w="360" w:type="pct"/>
            <w:tcBorders>
              <w:left w:val="nil"/>
            </w:tcBorders>
            <w:noWrap w:val="0"/>
            <w:vAlign w:val="center"/>
          </w:tcPr>
          <w:p w14:paraId="670CB24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17.6</w:t>
            </w:r>
          </w:p>
        </w:tc>
        <w:tc>
          <w:tcPr>
            <w:tcW w:w="375" w:type="pct"/>
            <w:noWrap w:val="0"/>
            <w:vAlign w:val="center"/>
          </w:tcPr>
          <w:p w14:paraId="43A3F1C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18.38</w:t>
            </w:r>
          </w:p>
        </w:tc>
        <w:tc>
          <w:tcPr>
            <w:tcW w:w="350" w:type="pct"/>
            <w:noWrap w:val="0"/>
            <w:vAlign w:val="center"/>
          </w:tcPr>
          <w:p w14:paraId="00225F4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0.78</w:t>
            </w:r>
          </w:p>
        </w:tc>
        <w:tc>
          <w:tcPr>
            <w:tcW w:w="375" w:type="pct"/>
            <w:vMerge w:val="continue"/>
            <w:noWrap w:val="0"/>
            <w:vAlign w:val="center"/>
          </w:tcPr>
          <w:p w14:paraId="2262AE5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239FE86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1B31C97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6" w:type="pct"/>
            <w:vMerge w:val="continue"/>
            <w:noWrap w:val="0"/>
            <w:vAlign w:val="center"/>
          </w:tcPr>
          <w:p w14:paraId="63E48EB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noWrap w:val="0"/>
            <w:vAlign w:val="center"/>
          </w:tcPr>
          <w:p w14:paraId="6A23EAE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16.27</w:t>
            </w:r>
          </w:p>
        </w:tc>
        <w:tc>
          <w:tcPr>
            <w:tcW w:w="350" w:type="pct"/>
            <w:noWrap w:val="0"/>
            <w:vAlign w:val="center"/>
          </w:tcPr>
          <w:p w14:paraId="4E2FA4B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-1.33</w:t>
            </w:r>
          </w:p>
        </w:tc>
        <w:tc>
          <w:tcPr>
            <w:tcW w:w="317" w:type="pct"/>
            <w:vMerge w:val="continue"/>
            <w:noWrap w:val="0"/>
            <w:vAlign w:val="center"/>
          </w:tcPr>
          <w:p w14:paraId="60A33FC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6" w:type="pct"/>
            <w:vMerge w:val="continue"/>
            <w:noWrap w:val="0"/>
            <w:vAlign w:val="center"/>
          </w:tcPr>
          <w:p w14:paraId="542D376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15EEC86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72C025C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r>
      <w:tr w14:paraId="4818464E">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14" w:type="pct"/>
            <w:tcBorders>
              <w:right w:val="nil"/>
            </w:tcBorders>
            <w:noWrap w:val="0"/>
            <w:vAlign w:val="center"/>
          </w:tcPr>
          <w:p w14:paraId="52AD50B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24</w:t>
            </w:r>
          </w:p>
        </w:tc>
        <w:tc>
          <w:tcPr>
            <w:tcW w:w="360" w:type="pct"/>
            <w:tcBorders>
              <w:left w:val="nil"/>
            </w:tcBorders>
            <w:noWrap w:val="0"/>
            <w:vAlign w:val="center"/>
          </w:tcPr>
          <w:p w14:paraId="55B4D9A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25.3</w:t>
            </w:r>
          </w:p>
        </w:tc>
        <w:tc>
          <w:tcPr>
            <w:tcW w:w="375" w:type="pct"/>
            <w:noWrap w:val="0"/>
            <w:vAlign w:val="center"/>
          </w:tcPr>
          <w:p w14:paraId="6EB4853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25.19</w:t>
            </w:r>
          </w:p>
        </w:tc>
        <w:tc>
          <w:tcPr>
            <w:tcW w:w="350" w:type="pct"/>
            <w:noWrap w:val="0"/>
            <w:vAlign w:val="center"/>
          </w:tcPr>
          <w:p w14:paraId="00B0E13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-0.11</w:t>
            </w:r>
          </w:p>
        </w:tc>
        <w:tc>
          <w:tcPr>
            <w:tcW w:w="375" w:type="pct"/>
            <w:vMerge w:val="continue"/>
            <w:noWrap w:val="0"/>
            <w:vAlign w:val="center"/>
          </w:tcPr>
          <w:p w14:paraId="3AD9716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3B3AF61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76FE9D2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6" w:type="pct"/>
            <w:vMerge w:val="continue"/>
            <w:noWrap w:val="0"/>
            <w:vAlign w:val="center"/>
          </w:tcPr>
          <w:p w14:paraId="6941B3D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noWrap w:val="0"/>
            <w:vAlign w:val="center"/>
          </w:tcPr>
          <w:p w14:paraId="39C1800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27.88</w:t>
            </w:r>
          </w:p>
        </w:tc>
        <w:tc>
          <w:tcPr>
            <w:tcW w:w="350" w:type="pct"/>
            <w:noWrap w:val="0"/>
            <w:vAlign w:val="center"/>
          </w:tcPr>
          <w:p w14:paraId="4ECFFD3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2.58</w:t>
            </w:r>
          </w:p>
        </w:tc>
        <w:tc>
          <w:tcPr>
            <w:tcW w:w="317" w:type="pct"/>
            <w:vMerge w:val="continue"/>
            <w:noWrap w:val="0"/>
            <w:vAlign w:val="center"/>
          </w:tcPr>
          <w:p w14:paraId="75F0F36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6" w:type="pct"/>
            <w:vMerge w:val="continue"/>
            <w:noWrap w:val="0"/>
            <w:vAlign w:val="center"/>
          </w:tcPr>
          <w:p w14:paraId="44159C2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5ED8B90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1300CF3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r>
      <w:tr w14:paraId="0D8C13EA">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14" w:type="pct"/>
            <w:tcBorders>
              <w:right w:val="nil"/>
            </w:tcBorders>
            <w:noWrap w:val="0"/>
            <w:vAlign w:val="center"/>
          </w:tcPr>
          <w:p w14:paraId="48919E2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sz w:val="18"/>
                <w:szCs w:val="18"/>
                <w:lang w:val="en-US" w:eastAsia="zh-CN"/>
              </w:rPr>
            </w:pPr>
            <w:r>
              <w:rPr>
                <w:rFonts w:hint="eastAsia" w:ascii="Times New Roman" w:hAnsi="Times New Roman"/>
                <w:sz w:val="18"/>
                <w:szCs w:val="18"/>
                <w:lang w:val="en-US" w:eastAsia="zh-CN"/>
              </w:rPr>
              <w:t>25</w:t>
            </w:r>
          </w:p>
        </w:tc>
        <w:tc>
          <w:tcPr>
            <w:tcW w:w="360" w:type="pct"/>
            <w:tcBorders>
              <w:left w:val="nil"/>
            </w:tcBorders>
            <w:noWrap w:val="0"/>
            <w:vAlign w:val="center"/>
          </w:tcPr>
          <w:p w14:paraId="41E07DF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25.9</w:t>
            </w:r>
          </w:p>
        </w:tc>
        <w:tc>
          <w:tcPr>
            <w:tcW w:w="375" w:type="pct"/>
            <w:noWrap w:val="0"/>
            <w:vAlign w:val="center"/>
          </w:tcPr>
          <w:p w14:paraId="245B88A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25.51</w:t>
            </w:r>
          </w:p>
        </w:tc>
        <w:tc>
          <w:tcPr>
            <w:tcW w:w="350" w:type="pct"/>
            <w:noWrap w:val="0"/>
            <w:vAlign w:val="center"/>
          </w:tcPr>
          <w:p w14:paraId="2B5709D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-0.39</w:t>
            </w:r>
          </w:p>
        </w:tc>
        <w:tc>
          <w:tcPr>
            <w:tcW w:w="375" w:type="pct"/>
            <w:vMerge w:val="continue"/>
            <w:noWrap w:val="0"/>
            <w:vAlign w:val="center"/>
          </w:tcPr>
          <w:p w14:paraId="134E6E5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728C067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36B908D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6" w:type="pct"/>
            <w:vMerge w:val="continue"/>
            <w:noWrap w:val="0"/>
            <w:vAlign w:val="center"/>
          </w:tcPr>
          <w:p w14:paraId="002EC6E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noWrap w:val="0"/>
            <w:vAlign w:val="center"/>
          </w:tcPr>
          <w:p w14:paraId="456B54B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25.45</w:t>
            </w:r>
          </w:p>
        </w:tc>
        <w:tc>
          <w:tcPr>
            <w:tcW w:w="350" w:type="pct"/>
            <w:noWrap w:val="0"/>
            <w:vAlign w:val="center"/>
          </w:tcPr>
          <w:p w14:paraId="17BDC06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-0.45</w:t>
            </w:r>
          </w:p>
        </w:tc>
        <w:tc>
          <w:tcPr>
            <w:tcW w:w="317" w:type="pct"/>
            <w:vMerge w:val="continue"/>
            <w:noWrap w:val="0"/>
            <w:vAlign w:val="center"/>
          </w:tcPr>
          <w:p w14:paraId="61FAB16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6" w:type="pct"/>
            <w:vMerge w:val="continue"/>
            <w:noWrap w:val="0"/>
            <w:vAlign w:val="center"/>
          </w:tcPr>
          <w:p w14:paraId="5CCB34F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2A49C73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2064810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r>
      <w:tr w14:paraId="36AD39EA">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PrEx>
        <w:trPr>
          <w:trHeight w:val="340" w:hRule="exact"/>
          <w:jc w:val="center"/>
        </w:trPr>
        <w:tc>
          <w:tcPr>
            <w:tcW w:w="414" w:type="pct"/>
            <w:tcBorders>
              <w:right w:val="nil"/>
            </w:tcBorders>
            <w:noWrap w:val="0"/>
            <w:vAlign w:val="center"/>
          </w:tcPr>
          <w:p w14:paraId="396419E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sz w:val="18"/>
                <w:szCs w:val="18"/>
                <w:lang w:val="en-US" w:eastAsia="zh-CN"/>
              </w:rPr>
            </w:pPr>
            <w:r>
              <w:rPr>
                <w:rFonts w:hint="eastAsia" w:ascii="Times New Roman" w:hAnsi="Times New Roman"/>
                <w:sz w:val="18"/>
                <w:szCs w:val="18"/>
                <w:lang w:val="en-US" w:eastAsia="zh-CN"/>
              </w:rPr>
              <w:t>26</w:t>
            </w:r>
          </w:p>
        </w:tc>
        <w:tc>
          <w:tcPr>
            <w:tcW w:w="360" w:type="pct"/>
            <w:tcBorders>
              <w:left w:val="nil"/>
            </w:tcBorders>
            <w:noWrap w:val="0"/>
            <w:vAlign w:val="center"/>
          </w:tcPr>
          <w:p w14:paraId="11C71BA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26.3</w:t>
            </w:r>
          </w:p>
        </w:tc>
        <w:tc>
          <w:tcPr>
            <w:tcW w:w="375" w:type="pct"/>
            <w:noWrap w:val="0"/>
            <w:vAlign w:val="center"/>
          </w:tcPr>
          <w:p w14:paraId="2F9463B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26.54</w:t>
            </w:r>
          </w:p>
        </w:tc>
        <w:tc>
          <w:tcPr>
            <w:tcW w:w="350" w:type="pct"/>
            <w:noWrap w:val="0"/>
            <w:vAlign w:val="center"/>
          </w:tcPr>
          <w:p w14:paraId="0F57A97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0.24</w:t>
            </w:r>
          </w:p>
        </w:tc>
        <w:tc>
          <w:tcPr>
            <w:tcW w:w="375" w:type="pct"/>
            <w:vMerge w:val="continue"/>
            <w:noWrap w:val="0"/>
            <w:vAlign w:val="center"/>
          </w:tcPr>
          <w:p w14:paraId="79EC35A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789CD7A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0CD53C7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6" w:type="pct"/>
            <w:vMerge w:val="continue"/>
            <w:noWrap w:val="0"/>
            <w:vAlign w:val="center"/>
          </w:tcPr>
          <w:p w14:paraId="2A1B2C8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noWrap w:val="0"/>
            <w:vAlign w:val="center"/>
          </w:tcPr>
          <w:p w14:paraId="49F4998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25.95</w:t>
            </w:r>
          </w:p>
        </w:tc>
        <w:tc>
          <w:tcPr>
            <w:tcW w:w="350" w:type="pct"/>
            <w:noWrap w:val="0"/>
            <w:vAlign w:val="center"/>
          </w:tcPr>
          <w:p w14:paraId="20CD5AC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-0.35</w:t>
            </w:r>
          </w:p>
        </w:tc>
        <w:tc>
          <w:tcPr>
            <w:tcW w:w="317" w:type="pct"/>
            <w:vMerge w:val="continue"/>
            <w:noWrap w:val="0"/>
            <w:vAlign w:val="center"/>
          </w:tcPr>
          <w:p w14:paraId="7181E95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6" w:type="pct"/>
            <w:vMerge w:val="continue"/>
            <w:noWrap w:val="0"/>
            <w:vAlign w:val="center"/>
          </w:tcPr>
          <w:p w14:paraId="7D7FD80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46F6464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718ACF3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r>
      <w:tr w14:paraId="70C9881B">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14" w:type="pct"/>
            <w:tcBorders>
              <w:right w:val="nil"/>
            </w:tcBorders>
            <w:noWrap w:val="0"/>
            <w:vAlign w:val="center"/>
          </w:tcPr>
          <w:p w14:paraId="0455B54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sz w:val="18"/>
                <w:szCs w:val="18"/>
                <w:lang w:val="en-US" w:eastAsia="zh-CN"/>
              </w:rPr>
            </w:pPr>
            <w:r>
              <w:rPr>
                <w:rFonts w:hint="eastAsia" w:ascii="Times New Roman" w:hAnsi="Times New Roman"/>
                <w:sz w:val="18"/>
                <w:szCs w:val="18"/>
                <w:lang w:val="en-US" w:eastAsia="zh-CN"/>
              </w:rPr>
              <w:t>27</w:t>
            </w:r>
          </w:p>
        </w:tc>
        <w:tc>
          <w:tcPr>
            <w:tcW w:w="360" w:type="pct"/>
            <w:tcBorders>
              <w:left w:val="nil"/>
            </w:tcBorders>
            <w:noWrap w:val="0"/>
            <w:vAlign w:val="center"/>
          </w:tcPr>
          <w:p w14:paraId="54FAE41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26.4</w:t>
            </w:r>
          </w:p>
        </w:tc>
        <w:tc>
          <w:tcPr>
            <w:tcW w:w="375" w:type="pct"/>
            <w:noWrap w:val="0"/>
            <w:vAlign w:val="center"/>
          </w:tcPr>
          <w:p w14:paraId="62335A2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24.78</w:t>
            </w:r>
          </w:p>
        </w:tc>
        <w:tc>
          <w:tcPr>
            <w:tcW w:w="350" w:type="pct"/>
            <w:noWrap w:val="0"/>
            <w:vAlign w:val="center"/>
          </w:tcPr>
          <w:p w14:paraId="722B82C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-1.62</w:t>
            </w:r>
          </w:p>
        </w:tc>
        <w:tc>
          <w:tcPr>
            <w:tcW w:w="375" w:type="pct"/>
            <w:vMerge w:val="continue"/>
            <w:noWrap w:val="0"/>
            <w:vAlign w:val="center"/>
          </w:tcPr>
          <w:p w14:paraId="1817EA0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46FE197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48DB481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6" w:type="pct"/>
            <w:vMerge w:val="continue"/>
            <w:noWrap w:val="0"/>
            <w:vAlign w:val="center"/>
          </w:tcPr>
          <w:p w14:paraId="075C64B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noWrap w:val="0"/>
            <w:vAlign w:val="center"/>
          </w:tcPr>
          <w:p w14:paraId="62D533C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25.69</w:t>
            </w:r>
          </w:p>
        </w:tc>
        <w:tc>
          <w:tcPr>
            <w:tcW w:w="350" w:type="pct"/>
            <w:noWrap w:val="0"/>
            <w:vAlign w:val="center"/>
          </w:tcPr>
          <w:p w14:paraId="3E6D320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-0.71</w:t>
            </w:r>
          </w:p>
        </w:tc>
        <w:tc>
          <w:tcPr>
            <w:tcW w:w="317" w:type="pct"/>
            <w:vMerge w:val="continue"/>
            <w:noWrap w:val="0"/>
            <w:vAlign w:val="center"/>
          </w:tcPr>
          <w:p w14:paraId="5EAEA80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6" w:type="pct"/>
            <w:vMerge w:val="continue"/>
            <w:noWrap w:val="0"/>
            <w:vAlign w:val="center"/>
          </w:tcPr>
          <w:p w14:paraId="7444B91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592A05F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09784F5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r>
      <w:tr w14:paraId="6EDCCBF5">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14" w:type="pct"/>
            <w:tcBorders>
              <w:right w:val="nil"/>
            </w:tcBorders>
            <w:noWrap w:val="0"/>
            <w:vAlign w:val="center"/>
          </w:tcPr>
          <w:p w14:paraId="6C24D2B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sz w:val="18"/>
                <w:szCs w:val="18"/>
                <w:lang w:val="en-US" w:eastAsia="zh-CN"/>
              </w:rPr>
            </w:pPr>
            <w:r>
              <w:rPr>
                <w:rFonts w:hint="eastAsia" w:ascii="Times New Roman" w:hAnsi="Times New Roman"/>
                <w:sz w:val="18"/>
                <w:szCs w:val="18"/>
                <w:lang w:val="en-US" w:eastAsia="zh-CN"/>
              </w:rPr>
              <w:t>28</w:t>
            </w:r>
          </w:p>
        </w:tc>
        <w:tc>
          <w:tcPr>
            <w:tcW w:w="360" w:type="pct"/>
            <w:tcBorders>
              <w:left w:val="nil"/>
            </w:tcBorders>
            <w:noWrap w:val="0"/>
            <w:vAlign w:val="center"/>
          </w:tcPr>
          <w:p w14:paraId="642E292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26.7</w:t>
            </w:r>
          </w:p>
        </w:tc>
        <w:tc>
          <w:tcPr>
            <w:tcW w:w="375" w:type="pct"/>
            <w:noWrap w:val="0"/>
            <w:vAlign w:val="center"/>
          </w:tcPr>
          <w:p w14:paraId="429ADC3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27.91</w:t>
            </w:r>
          </w:p>
        </w:tc>
        <w:tc>
          <w:tcPr>
            <w:tcW w:w="350" w:type="pct"/>
            <w:noWrap w:val="0"/>
            <w:vAlign w:val="center"/>
          </w:tcPr>
          <w:p w14:paraId="5539FF7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1.21</w:t>
            </w:r>
          </w:p>
        </w:tc>
        <w:tc>
          <w:tcPr>
            <w:tcW w:w="375" w:type="pct"/>
            <w:vMerge w:val="continue"/>
            <w:noWrap w:val="0"/>
            <w:vAlign w:val="center"/>
          </w:tcPr>
          <w:p w14:paraId="6364CB9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40DF4F0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2C38CAA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6" w:type="pct"/>
            <w:vMerge w:val="continue"/>
            <w:noWrap w:val="0"/>
            <w:vAlign w:val="center"/>
          </w:tcPr>
          <w:p w14:paraId="06C8BDD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noWrap w:val="0"/>
            <w:vAlign w:val="center"/>
          </w:tcPr>
          <w:p w14:paraId="2E4E49C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25.92</w:t>
            </w:r>
          </w:p>
        </w:tc>
        <w:tc>
          <w:tcPr>
            <w:tcW w:w="350" w:type="pct"/>
            <w:noWrap w:val="0"/>
            <w:vAlign w:val="center"/>
          </w:tcPr>
          <w:p w14:paraId="1B4B77F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-0.78</w:t>
            </w:r>
          </w:p>
        </w:tc>
        <w:tc>
          <w:tcPr>
            <w:tcW w:w="317" w:type="pct"/>
            <w:vMerge w:val="continue"/>
            <w:noWrap w:val="0"/>
            <w:vAlign w:val="center"/>
          </w:tcPr>
          <w:p w14:paraId="2E90BCF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6" w:type="pct"/>
            <w:vMerge w:val="continue"/>
            <w:noWrap w:val="0"/>
            <w:vAlign w:val="center"/>
          </w:tcPr>
          <w:p w14:paraId="6D1BE7A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0D82EB9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6FBCBB7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r>
      <w:tr w14:paraId="16B047B6">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14" w:type="pct"/>
            <w:tcBorders>
              <w:right w:val="nil"/>
            </w:tcBorders>
            <w:noWrap w:val="0"/>
            <w:vAlign w:val="center"/>
          </w:tcPr>
          <w:p w14:paraId="05527B3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sz w:val="18"/>
                <w:szCs w:val="18"/>
                <w:lang w:val="en-US" w:eastAsia="zh-CN"/>
              </w:rPr>
            </w:pPr>
            <w:r>
              <w:rPr>
                <w:rFonts w:hint="eastAsia" w:ascii="Times New Roman" w:hAnsi="Times New Roman"/>
                <w:sz w:val="18"/>
                <w:szCs w:val="18"/>
                <w:lang w:val="en-US" w:eastAsia="zh-CN"/>
              </w:rPr>
              <w:t>29</w:t>
            </w:r>
          </w:p>
        </w:tc>
        <w:tc>
          <w:tcPr>
            <w:tcW w:w="360" w:type="pct"/>
            <w:tcBorders>
              <w:left w:val="nil"/>
            </w:tcBorders>
            <w:noWrap w:val="0"/>
            <w:vAlign w:val="center"/>
          </w:tcPr>
          <w:p w14:paraId="5877202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26.9</w:t>
            </w:r>
          </w:p>
        </w:tc>
        <w:tc>
          <w:tcPr>
            <w:tcW w:w="375" w:type="pct"/>
            <w:noWrap w:val="0"/>
            <w:vAlign w:val="center"/>
          </w:tcPr>
          <w:p w14:paraId="0AF6816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24.38</w:t>
            </w:r>
          </w:p>
        </w:tc>
        <w:tc>
          <w:tcPr>
            <w:tcW w:w="350" w:type="pct"/>
            <w:noWrap w:val="0"/>
            <w:vAlign w:val="center"/>
          </w:tcPr>
          <w:p w14:paraId="05F7301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-2.52</w:t>
            </w:r>
          </w:p>
        </w:tc>
        <w:tc>
          <w:tcPr>
            <w:tcW w:w="375" w:type="pct"/>
            <w:vMerge w:val="continue"/>
            <w:noWrap w:val="0"/>
            <w:vAlign w:val="center"/>
          </w:tcPr>
          <w:p w14:paraId="3002585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1241AA3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1EA0025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6" w:type="pct"/>
            <w:vMerge w:val="continue"/>
            <w:noWrap w:val="0"/>
            <w:vAlign w:val="center"/>
          </w:tcPr>
          <w:p w14:paraId="7CA8129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noWrap w:val="0"/>
            <w:vAlign w:val="center"/>
          </w:tcPr>
          <w:p w14:paraId="7B6256D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26.43</w:t>
            </w:r>
          </w:p>
        </w:tc>
        <w:tc>
          <w:tcPr>
            <w:tcW w:w="350" w:type="pct"/>
            <w:noWrap w:val="0"/>
            <w:vAlign w:val="center"/>
          </w:tcPr>
          <w:p w14:paraId="182DA60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-0.47</w:t>
            </w:r>
          </w:p>
        </w:tc>
        <w:tc>
          <w:tcPr>
            <w:tcW w:w="317" w:type="pct"/>
            <w:vMerge w:val="continue"/>
            <w:noWrap w:val="0"/>
            <w:vAlign w:val="center"/>
          </w:tcPr>
          <w:p w14:paraId="74573B6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6" w:type="pct"/>
            <w:vMerge w:val="continue"/>
            <w:noWrap w:val="0"/>
            <w:vAlign w:val="center"/>
          </w:tcPr>
          <w:p w14:paraId="7CF22F1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422B15F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075D831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r>
      <w:tr w14:paraId="4369567A">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414" w:type="pct"/>
            <w:tcBorders>
              <w:right w:val="nil"/>
            </w:tcBorders>
            <w:noWrap w:val="0"/>
            <w:vAlign w:val="center"/>
          </w:tcPr>
          <w:p w14:paraId="453E97F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sz w:val="18"/>
                <w:szCs w:val="18"/>
                <w:lang w:val="en-US" w:eastAsia="zh-CN"/>
              </w:rPr>
            </w:pPr>
            <w:r>
              <w:rPr>
                <w:rFonts w:hint="eastAsia" w:ascii="Times New Roman" w:hAnsi="Times New Roman"/>
                <w:sz w:val="18"/>
                <w:szCs w:val="18"/>
                <w:lang w:val="en-US" w:eastAsia="zh-CN"/>
              </w:rPr>
              <w:t>30</w:t>
            </w:r>
          </w:p>
        </w:tc>
        <w:tc>
          <w:tcPr>
            <w:tcW w:w="360" w:type="pct"/>
            <w:tcBorders>
              <w:left w:val="nil"/>
            </w:tcBorders>
            <w:noWrap w:val="0"/>
            <w:vAlign w:val="center"/>
          </w:tcPr>
          <w:p w14:paraId="3575546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27.2</w:t>
            </w:r>
          </w:p>
        </w:tc>
        <w:tc>
          <w:tcPr>
            <w:tcW w:w="375" w:type="pct"/>
            <w:noWrap w:val="0"/>
            <w:vAlign w:val="center"/>
          </w:tcPr>
          <w:p w14:paraId="346AE0B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28.21</w:t>
            </w:r>
          </w:p>
        </w:tc>
        <w:tc>
          <w:tcPr>
            <w:tcW w:w="350" w:type="pct"/>
            <w:noWrap w:val="0"/>
            <w:vAlign w:val="center"/>
          </w:tcPr>
          <w:p w14:paraId="18C2D49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1.01</w:t>
            </w:r>
          </w:p>
        </w:tc>
        <w:tc>
          <w:tcPr>
            <w:tcW w:w="375" w:type="pct"/>
            <w:vMerge w:val="continue"/>
            <w:noWrap w:val="0"/>
            <w:vAlign w:val="center"/>
          </w:tcPr>
          <w:p w14:paraId="4A6F7DC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2088154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vMerge w:val="continue"/>
            <w:noWrap w:val="0"/>
            <w:vAlign w:val="center"/>
          </w:tcPr>
          <w:p w14:paraId="7E632BB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6" w:type="pct"/>
            <w:vMerge w:val="continue"/>
            <w:noWrap w:val="0"/>
            <w:vAlign w:val="center"/>
          </w:tcPr>
          <w:p w14:paraId="43C152C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5" w:type="pct"/>
            <w:noWrap w:val="0"/>
            <w:vAlign w:val="center"/>
          </w:tcPr>
          <w:p w14:paraId="4A5196A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26.05</w:t>
            </w:r>
          </w:p>
        </w:tc>
        <w:tc>
          <w:tcPr>
            <w:tcW w:w="350" w:type="pct"/>
            <w:noWrap w:val="0"/>
            <w:vAlign w:val="center"/>
          </w:tcPr>
          <w:p w14:paraId="3BDE403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r>
              <w:rPr>
                <w:rFonts w:hint="eastAsia" w:ascii="Times New Roman" w:hAnsi="Times New Roman"/>
                <w:sz w:val="18"/>
                <w:szCs w:val="18"/>
                <w:lang w:val="en-US" w:eastAsia="zh-CN"/>
              </w:rPr>
              <w:t>-1.15</w:t>
            </w:r>
          </w:p>
        </w:tc>
        <w:tc>
          <w:tcPr>
            <w:tcW w:w="317" w:type="pct"/>
            <w:vMerge w:val="continue"/>
            <w:noWrap w:val="0"/>
            <w:vAlign w:val="center"/>
          </w:tcPr>
          <w:p w14:paraId="21C5A51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76" w:type="pct"/>
            <w:vMerge w:val="continue"/>
            <w:noWrap w:val="0"/>
            <w:vAlign w:val="center"/>
          </w:tcPr>
          <w:p w14:paraId="1769D01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014B434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c>
          <w:tcPr>
            <w:tcW w:w="317" w:type="pct"/>
            <w:vMerge w:val="continue"/>
            <w:noWrap w:val="0"/>
            <w:vAlign w:val="center"/>
          </w:tcPr>
          <w:p w14:paraId="65ED606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sz w:val="18"/>
                <w:szCs w:val="18"/>
                <w:lang w:val="en-US" w:eastAsia="zh-CN"/>
              </w:rPr>
            </w:pPr>
          </w:p>
        </w:tc>
      </w:tr>
    </w:tbl>
    <w:p w14:paraId="646EC00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仿宋_GB2312" w:cs="仿宋_GB2312"/>
          <w:color w:val="000000" w:themeColor="text1"/>
          <w:sz w:val="21"/>
          <w:szCs w:val="21"/>
          <w:lang w:val="en-US" w:eastAsia="zh-CN"/>
          <w14:textFill>
            <w14:solidFill>
              <w14:schemeClr w14:val="tx1"/>
            </w14:solidFill>
          </w14:textFill>
        </w:rPr>
      </w:pPr>
      <w:r>
        <w:rPr>
          <w:rFonts w:hint="eastAsia" w:ascii="Times New Roman" w:hAnsi="Times New Roman" w:eastAsia="仿宋_GB2312" w:cs="仿宋_GB2312"/>
          <w:color w:val="000000" w:themeColor="text1"/>
          <w:sz w:val="21"/>
          <w:szCs w:val="21"/>
          <w:lang w:val="en-US" w:eastAsia="zh-CN" w:bidi="ar"/>
          <w14:textFill>
            <w14:solidFill>
              <w14:schemeClr w14:val="tx1"/>
            </w14:solidFill>
          </w14:textFill>
        </w:rPr>
        <w:t>注：</w:t>
      </w:r>
      <w:r>
        <w:rPr>
          <w:rFonts w:hint="eastAsia" w:ascii="Times New Roman" w:hAnsi="Times New Roman" w:eastAsia="仿宋_GB2312" w:cs="仿宋_GB2312"/>
          <w:color w:val="000000" w:themeColor="text1"/>
          <w:sz w:val="21"/>
          <w:szCs w:val="21"/>
          <w14:textFill>
            <w14:solidFill>
              <w14:schemeClr w14:val="tx1"/>
            </w14:solidFill>
          </w14:textFill>
        </w:rPr>
        <w:t>每个样品测定两次，第一次测定后的样品应与原待测样品混匀后，再次取样进行第二次测定</w:t>
      </w:r>
      <w:r>
        <w:rPr>
          <w:rFonts w:hint="eastAsia" w:ascii="Times New Roman" w:hAnsi="Times New Roman" w:eastAsia="仿宋_GB2312" w:cs="仿宋_GB2312"/>
          <w:color w:val="000000" w:themeColor="text1"/>
          <w:sz w:val="21"/>
          <w:szCs w:val="21"/>
          <w:lang w:eastAsia="zh-CN"/>
          <w14:textFill>
            <w14:solidFill>
              <w14:schemeClr w14:val="tx1"/>
            </w14:solidFill>
          </w14:textFill>
        </w:rPr>
        <w:t>，</w:t>
      </w:r>
      <w:r>
        <w:rPr>
          <w:rFonts w:hint="eastAsia" w:ascii="Times New Roman" w:hAnsi="Times New Roman" w:eastAsia="仿宋_GB2312" w:cs="仿宋_GB2312"/>
          <w:color w:val="000000" w:themeColor="text1"/>
          <w:sz w:val="21"/>
          <w:szCs w:val="21"/>
          <w14:textFill>
            <w14:solidFill>
              <w14:schemeClr w14:val="tx1"/>
            </w14:solidFill>
          </w14:textFill>
        </w:rPr>
        <w:t>取两次数据的平均值为</w:t>
      </w:r>
      <w:r>
        <w:rPr>
          <w:rFonts w:hint="eastAsia" w:ascii="Times New Roman" w:hAnsi="Times New Roman" w:eastAsia="仿宋_GB2312" w:cs="仿宋_GB2312"/>
          <w:color w:val="000000" w:themeColor="text1"/>
          <w:sz w:val="21"/>
          <w:szCs w:val="21"/>
          <w:lang w:eastAsia="zh-CN"/>
          <w14:textFill>
            <w14:solidFill>
              <w14:schemeClr w14:val="tx1"/>
            </w14:solidFill>
          </w14:textFill>
        </w:rPr>
        <w:t>预测值</w:t>
      </w:r>
      <w:r>
        <w:rPr>
          <w:rFonts w:hint="eastAsia" w:ascii="Times New Roman" w:hAnsi="Times New Roman" w:eastAsia="仿宋_GB2312" w:cs="仿宋_GB2312"/>
          <w:color w:val="000000" w:themeColor="text1"/>
          <w:sz w:val="21"/>
          <w:szCs w:val="21"/>
          <w14:textFill>
            <w14:solidFill>
              <w14:schemeClr w14:val="tx1"/>
            </w14:solidFill>
          </w14:textFill>
        </w:rPr>
        <w:t>。</w:t>
      </w:r>
    </w:p>
    <w:p w14:paraId="14051847">
      <w:pPr>
        <w:keepNext w:val="0"/>
        <w:keepLines w:val="0"/>
        <w:pageBreakBefore w:val="0"/>
        <w:widowControl w:val="0"/>
        <w:kinsoku/>
        <w:wordWrap/>
        <w:overflowPunct/>
        <w:topLinePunct w:val="0"/>
        <w:bidi w:val="0"/>
        <w:adjustRightInd/>
        <w:snapToGrid/>
        <w:spacing w:line="600" w:lineRule="exact"/>
        <w:ind w:left="0" w:leftChars="0" w:firstLine="0" w:firstLineChars="0"/>
        <w:rPr>
          <w:rFonts w:ascii="Times New Roman" w:hAnsi="Times New Roman"/>
        </w:rPr>
      </w:pPr>
      <w:r>
        <w:rPr>
          <w:rFonts w:ascii="Times New Roman" w:hAnsi="Times New Roman"/>
        </w:rPr>
        <w:drawing>
          <wp:anchor distT="0" distB="0" distL="114300" distR="114300" simplePos="0" relativeHeight="251660288" behindDoc="0" locked="0" layoutInCell="1" allowOverlap="1">
            <wp:simplePos x="0" y="0"/>
            <wp:positionH relativeFrom="column">
              <wp:posOffset>209550</wp:posOffset>
            </wp:positionH>
            <wp:positionV relativeFrom="paragraph">
              <wp:posOffset>-9525</wp:posOffset>
            </wp:positionV>
            <wp:extent cx="4597400" cy="2524125"/>
            <wp:effectExtent l="0" t="0" r="12700" b="9525"/>
            <wp:wrapNone/>
            <wp:docPr id="3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4664039D">
      <w:pPr>
        <w:keepNext w:val="0"/>
        <w:keepLines w:val="0"/>
        <w:pageBreakBefore w:val="0"/>
        <w:widowControl w:val="0"/>
        <w:kinsoku/>
        <w:wordWrap/>
        <w:overflowPunct/>
        <w:topLinePunct w:val="0"/>
        <w:bidi w:val="0"/>
        <w:adjustRightInd/>
        <w:snapToGrid/>
        <w:spacing w:line="600" w:lineRule="exact"/>
        <w:ind w:firstLine="420" w:firstLineChars="200"/>
        <w:rPr>
          <w:rFonts w:ascii="Times New Roman" w:hAnsi="Times New Roman"/>
        </w:rPr>
      </w:pPr>
    </w:p>
    <w:p w14:paraId="1C621CB0">
      <w:pPr>
        <w:keepNext w:val="0"/>
        <w:keepLines w:val="0"/>
        <w:pageBreakBefore w:val="0"/>
        <w:widowControl w:val="0"/>
        <w:kinsoku/>
        <w:wordWrap/>
        <w:overflowPunct/>
        <w:topLinePunct w:val="0"/>
        <w:bidi w:val="0"/>
        <w:adjustRightInd/>
        <w:snapToGrid/>
        <w:spacing w:line="600" w:lineRule="exact"/>
        <w:ind w:firstLine="420" w:firstLineChars="200"/>
        <w:rPr>
          <w:rFonts w:ascii="Times New Roman" w:hAnsi="Times New Roman"/>
        </w:rPr>
      </w:pPr>
    </w:p>
    <w:p w14:paraId="6FB58614">
      <w:pPr>
        <w:keepNext w:val="0"/>
        <w:keepLines w:val="0"/>
        <w:pageBreakBefore w:val="0"/>
        <w:widowControl w:val="0"/>
        <w:kinsoku/>
        <w:wordWrap/>
        <w:overflowPunct/>
        <w:topLinePunct w:val="0"/>
        <w:bidi w:val="0"/>
        <w:adjustRightInd/>
        <w:snapToGrid/>
        <w:spacing w:line="600" w:lineRule="exact"/>
        <w:ind w:firstLine="420" w:firstLineChars="200"/>
        <w:rPr>
          <w:rFonts w:ascii="Times New Roman" w:hAnsi="Times New Roman"/>
        </w:rPr>
      </w:pPr>
    </w:p>
    <w:p w14:paraId="7389A2DE">
      <w:pPr>
        <w:keepNext w:val="0"/>
        <w:keepLines w:val="0"/>
        <w:pageBreakBefore w:val="0"/>
        <w:widowControl w:val="0"/>
        <w:kinsoku/>
        <w:wordWrap/>
        <w:overflowPunct/>
        <w:topLinePunct w:val="0"/>
        <w:bidi w:val="0"/>
        <w:adjustRightInd/>
        <w:snapToGrid/>
        <w:spacing w:line="600" w:lineRule="exact"/>
        <w:ind w:firstLine="420" w:firstLineChars="200"/>
        <w:rPr>
          <w:rFonts w:ascii="Times New Roman" w:hAnsi="Times New Roman"/>
        </w:rPr>
      </w:pPr>
    </w:p>
    <w:p w14:paraId="4418FC5F">
      <w:pPr>
        <w:keepNext w:val="0"/>
        <w:keepLines w:val="0"/>
        <w:pageBreakBefore w:val="0"/>
        <w:widowControl w:val="0"/>
        <w:kinsoku/>
        <w:wordWrap/>
        <w:overflowPunct/>
        <w:topLinePunct w:val="0"/>
        <w:bidi w:val="0"/>
        <w:adjustRightInd/>
        <w:snapToGrid/>
        <w:spacing w:line="600" w:lineRule="exact"/>
        <w:ind w:firstLine="420" w:firstLineChars="200"/>
        <w:jc w:val="center"/>
        <w:rPr>
          <w:rFonts w:hint="eastAsia" w:ascii="Times New Roman" w:hAnsi="Times New Roman" w:eastAsia="楷体"/>
          <w:b w:val="0"/>
          <w:bCs/>
          <w:szCs w:val="21"/>
          <w:lang w:eastAsia="zh-CN"/>
        </w:rPr>
      </w:pPr>
      <w:r>
        <w:rPr>
          <w:rFonts w:hint="eastAsia" w:ascii="Times New Roman" w:hAnsi="Times New Roman" w:eastAsia="楷体"/>
          <w:b w:val="0"/>
          <w:bCs/>
          <w:szCs w:val="21"/>
        </w:rPr>
        <w:t>图</w:t>
      </w:r>
      <w:r>
        <w:rPr>
          <w:rFonts w:hint="eastAsia" w:ascii="Times New Roman" w:hAnsi="Times New Roman" w:eastAsia="楷体"/>
          <w:b w:val="0"/>
          <w:bCs/>
          <w:szCs w:val="21"/>
          <w:lang w:val="en-US" w:eastAsia="zh-CN"/>
        </w:rPr>
        <w:t xml:space="preserve">6 </w:t>
      </w:r>
      <w:r>
        <w:rPr>
          <w:rFonts w:hint="eastAsia" w:ascii="Times New Roman" w:hAnsi="Times New Roman" w:eastAsia="楷体"/>
          <w:b w:val="0"/>
          <w:bCs/>
          <w:szCs w:val="21"/>
          <w:lang w:eastAsia="zh-CN"/>
        </w:rPr>
        <w:t>验证集样品直链淀粉含量预测值与化学值相关关系（进口设备）</w:t>
      </w:r>
    </w:p>
    <w:p w14:paraId="34865A37">
      <w:pPr>
        <w:keepNext w:val="0"/>
        <w:keepLines w:val="0"/>
        <w:pageBreakBefore w:val="0"/>
        <w:widowControl w:val="0"/>
        <w:kinsoku/>
        <w:wordWrap/>
        <w:overflowPunct/>
        <w:topLinePunct w:val="0"/>
        <w:bidi w:val="0"/>
        <w:adjustRightInd/>
        <w:snapToGrid/>
        <w:spacing w:line="600" w:lineRule="exact"/>
        <w:ind w:firstLine="420" w:firstLineChars="200"/>
        <w:jc w:val="center"/>
        <w:rPr>
          <w:rFonts w:ascii="Times New Roman" w:hAnsi="Times New Roman"/>
        </w:rPr>
      </w:pPr>
      <w:r>
        <w:rPr>
          <w:rFonts w:ascii="Times New Roman" w:hAnsi="Times New Roman"/>
        </w:rPr>
        <w:drawing>
          <wp:anchor distT="0" distB="0" distL="114300" distR="114300" simplePos="0" relativeHeight="251661312" behindDoc="0" locked="0" layoutInCell="1" allowOverlap="1">
            <wp:simplePos x="0" y="0"/>
            <wp:positionH relativeFrom="column">
              <wp:posOffset>417195</wp:posOffset>
            </wp:positionH>
            <wp:positionV relativeFrom="paragraph">
              <wp:posOffset>120650</wp:posOffset>
            </wp:positionV>
            <wp:extent cx="4464050" cy="2381250"/>
            <wp:effectExtent l="0" t="0" r="12700" b="0"/>
            <wp:wrapNone/>
            <wp:docPr id="4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1751AE13">
      <w:pPr>
        <w:keepNext w:val="0"/>
        <w:keepLines w:val="0"/>
        <w:pageBreakBefore w:val="0"/>
        <w:widowControl w:val="0"/>
        <w:kinsoku/>
        <w:wordWrap/>
        <w:overflowPunct/>
        <w:topLinePunct w:val="0"/>
        <w:bidi w:val="0"/>
        <w:adjustRightInd/>
        <w:snapToGrid/>
        <w:spacing w:line="600" w:lineRule="exact"/>
        <w:ind w:firstLine="420" w:firstLineChars="200"/>
        <w:jc w:val="center"/>
        <w:rPr>
          <w:rFonts w:ascii="Times New Roman" w:hAnsi="Times New Roman"/>
        </w:rPr>
      </w:pPr>
    </w:p>
    <w:p w14:paraId="35B21FAC">
      <w:pPr>
        <w:keepNext w:val="0"/>
        <w:keepLines w:val="0"/>
        <w:pageBreakBefore w:val="0"/>
        <w:widowControl w:val="0"/>
        <w:kinsoku/>
        <w:wordWrap/>
        <w:overflowPunct/>
        <w:topLinePunct w:val="0"/>
        <w:bidi w:val="0"/>
        <w:adjustRightInd/>
        <w:snapToGrid/>
        <w:spacing w:line="600" w:lineRule="exact"/>
        <w:ind w:firstLine="420" w:firstLineChars="200"/>
        <w:jc w:val="center"/>
        <w:rPr>
          <w:rFonts w:ascii="Times New Roman" w:hAnsi="Times New Roman"/>
        </w:rPr>
      </w:pPr>
    </w:p>
    <w:p w14:paraId="233DE94D">
      <w:pPr>
        <w:keepNext w:val="0"/>
        <w:keepLines w:val="0"/>
        <w:pageBreakBefore w:val="0"/>
        <w:widowControl w:val="0"/>
        <w:kinsoku/>
        <w:wordWrap/>
        <w:overflowPunct/>
        <w:topLinePunct w:val="0"/>
        <w:bidi w:val="0"/>
        <w:adjustRightInd/>
        <w:snapToGrid/>
        <w:spacing w:line="600" w:lineRule="exact"/>
        <w:ind w:firstLine="420" w:firstLineChars="200"/>
        <w:jc w:val="center"/>
        <w:rPr>
          <w:rFonts w:ascii="Times New Roman" w:hAnsi="Times New Roman"/>
        </w:rPr>
      </w:pPr>
    </w:p>
    <w:p w14:paraId="3FB619FF">
      <w:pPr>
        <w:keepNext w:val="0"/>
        <w:keepLines w:val="0"/>
        <w:pageBreakBefore w:val="0"/>
        <w:widowControl w:val="0"/>
        <w:kinsoku/>
        <w:wordWrap/>
        <w:overflowPunct/>
        <w:topLinePunct w:val="0"/>
        <w:bidi w:val="0"/>
        <w:adjustRightInd/>
        <w:snapToGrid/>
        <w:spacing w:line="600" w:lineRule="exact"/>
        <w:ind w:firstLine="420" w:firstLineChars="200"/>
        <w:jc w:val="center"/>
        <w:rPr>
          <w:rFonts w:hint="eastAsia" w:ascii="Times New Roman" w:hAnsi="Times New Roman" w:eastAsia="楷体"/>
          <w:b w:val="0"/>
          <w:bCs/>
          <w:szCs w:val="21"/>
          <w:lang w:eastAsia="zh-CN"/>
        </w:rPr>
      </w:pPr>
    </w:p>
    <w:p w14:paraId="1A66CE87">
      <w:pPr>
        <w:keepNext w:val="0"/>
        <w:keepLines w:val="0"/>
        <w:pageBreakBefore w:val="0"/>
        <w:widowControl w:val="0"/>
        <w:kinsoku/>
        <w:wordWrap/>
        <w:overflowPunct/>
        <w:topLinePunct w:val="0"/>
        <w:bidi w:val="0"/>
        <w:adjustRightInd/>
        <w:snapToGrid/>
        <w:spacing w:line="560" w:lineRule="exact"/>
        <w:ind w:firstLine="420" w:firstLineChars="200"/>
        <w:jc w:val="center"/>
        <w:textAlignment w:val="auto"/>
        <w:rPr>
          <w:rFonts w:hint="eastAsia" w:ascii="Times New Roman" w:hAnsi="Times New Roman" w:eastAsia="楷体"/>
          <w:b w:val="0"/>
          <w:bCs/>
          <w:szCs w:val="21"/>
          <w:lang w:eastAsia="zh-CN"/>
        </w:rPr>
      </w:pPr>
      <w:r>
        <w:rPr>
          <w:rFonts w:hint="eastAsia" w:ascii="Times New Roman" w:hAnsi="Times New Roman" w:eastAsia="楷体"/>
          <w:b w:val="0"/>
          <w:bCs/>
          <w:szCs w:val="21"/>
        </w:rPr>
        <w:t>图</w:t>
      </w:r>
      <w:r>
        <w:rPr>
          <w:rFonts w:hint="eastAsia" w:ascii="Times New Roman" w:hAnsi="Times New Roman" w:eastAsia="楷体"/>
          <w:b w:val="0"/>
          <w:bCs/>
          <w:szCs w:val="21"/>
          <w:lang w:val="en-US" w:eastAsia="zh-CN"/>
        </w:rPr>
        <w:t xml:space="preserve">7 </w:t>
      </w:r>
      <w:r>
        <w:rPr>
          <w:rFonts w:hint="eastAsia" w:ascii="Times New Roman" w:hAnsi="Times New Roman" w:eastAsia="楷体"/>
          <w:b w:val="0"/>
          <w:bCs/>
          <w:szCs w:val="21"/>
          <w:lang w:eastAsia="zh-CN"/>
        </w:rPr>
        <w:t>验证集样品直链淀粉含量预测值与化学值相关关系（国产设备）</w:t>
      </w:r>
    </w:p>
    <w:p w14:paraId="1235170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（2）重复性。</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从验证集中选取11个有代表性的样品，进行6次连续光谱采集，</w:t>
      </w: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平行样测试结果分析见表5。从表5可知，进口、国产设备平行测试得到的极差最大值分别为1.06%、1.15%，标准偏差</w:t>
      </w:r>
      <w:r>
        <w:rPr>
          <w:rFonts w:hint="eastAsia" w:ascii="Times New Roman" w:hAnsi="Times New Roman"/>
          <w:i/>
          <w:iCs/>
          <w:sz w:val="32"/>
          <w:szCs w:val="32"/>
          <w:lang w:val="en-US" w:eastAsia="zh-CN"/>
        </w:rPr>
        <w:t>S</w:t>
      </w:r>
      <w:r>
        <w:rPr>
          <w:rFonts w:hint="eastAsia" w:ascii="Times New Roman" w:hAnsi="Times New Roman"/>
          <w:i/>
          <w:iCs/>
          <w:sz w:val="32"/>
          <w:szCs w:val="32"/>
          <w:vertAlign w:val="subscript"/>
          <w:lang w:val="en-US" w:eastAsia="zh-CN"/>
        </w:rPr>
        <w:t>r</w:t>
      </w: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最大值分别为0.38%、0.40%。重复性限r</w:t>
      </w:r>
      <w:r>
        <w:rPr>
          <w:rFonts w:hint="default" w:ascii="Times New Roman" w:hAnsi="Times New Roman" w:eastAsia="仿宋_GB2312" w:cs="Arial"/>
          <w:color w:val="000000" w:themeColor="text1"/>
          <w:sz w:val="32"/>
          <w:szCs w:val="32"/>
          <w:lang w:val="en-US" w:eastAsia="zh-CN" w:bidi="ar"/>
          <w14:textFill>
            <w14:solidFill>
              <w14:schemeClr w14:val="tx1"/>
            </w14:solidFill>
          </w14:textFill>
        </w:rPr>
        <w:t>≈</w:t>
      </w: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3</w:t>
      </w:r>
      <w:r>
        <w:rPr>
          <w:rFonts w:hint="eastAsia" w:ascii="Times New Roman" w:hAnsi="Times New Roman"/>
          <w:i/>
          <w:iCs/>
          <w:sz w:val="32"/>
          <w:szCs w:val="32"/>
          <w:lang w:val="en-US" w:eastAsia="zh-CN"/>
        </w:rPr>
        <w:t>S</w:t>
      </w:r>
      <w:r>
        <w:rPr>
          <w:rFonts w:hint="eastAsia" w:ascii="Times New Roman" w:hAnsi="Times New Roman"/>
          <w:i/>
          <w:iCs/>
          <w:sz w:val="32"/>
          <w:szCs w:val="32"/>
          <w:vertAlign w:val="subscript"/>
          <w:lang w:val="en-US" w:eastAsia="zh-CN"/>
        </w:rPr>
        <w:t>r</w:t>
      </w:r>
      <w:r>
        <w:rPr>
          <w:rFonts w:hint="eastAsia" w:ascii="Times New Roman" w:hAnsi="Times New Roman"/>
          <w:i w:val="0"/>
          <w:iCs w:val="0"/>
          <w:sz w:val="32"/>
          <w:szCs w:val="32"/>
          <w:vertAlign w:val="baseline"/>
          <w:lang w:val="en-US" w:eastAsia="zh-CN"/>
        </w:rPr>
        <w:t>，</w:t>
      </w: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即1.14%、1.20%。结合GB/T 15683-2025关于重复性的要求，本标准规定“在同一实验室，由同一操作者使用相同的仪器设备，按相同的测试方法，并在短时间内，通过重新分样和重新装样，对同一被测样品相互独立进行测试，两次独立测定的直链淀粉含量结果的绝对差值不应超过1.2%。”</w:t>
      </w:r>
    </w:p>
    <w:p w14:paraId="49C413E4">
      <w:pPr>
        <w:keepNext w:val="0"/>
        <w:keepLines w:val="0"/>
        <w:pageBreakBefore w:val="0"/>
        <w:widowControl w:val="0"/>
        <w:kinsoku/>
        <w:wordWrap/>
        <w:overflowPunct/>
        <w:topLinePunct w:val="0"/>
        <w:bidi w:val="0"/>
        <w:adjustRightInd/>
        <w:snapToGrid/>
        <w:spacing w:line="600" w:lineRule="exact"/>
        <w:ind w:firstLine="640" w:firstLineChars="200"/>
        <w:rPr>
          <w:rFonts w:hint="default" w:ascii="Times New Roman" w:hAnsi="Times New Roman" w:eastAsia="仿宋_GB2312" w:cs="仿宋_GB2312"/>
          <w:color w:val="000000" w:themeColor="text1"/>
          <w:sz w:val="32"/>
          <w:szCs w:val="32"/>
          <w:lang w:val="en-US" w:eastAsia="zh-CN" w:bidi="ar"/>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（3）再现性。</w:t>
      </w:r>
    </w:p>
    <w:p w14:paraId="64ED6DE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为了使方法更加科学准确，起草组另选了5个校正集和验证集之外的大米样品，组织四家具有</w:t>
      </w:r>
      <w:r>
        <w:rPr>
          <w:rFonts w:hint="eastAsia" w:ascii="Times New Roman" w:hAnsi="Times New Roman" w:eastAsia="仿宋_GB2312" w:cs="仿宋_GB2312"/>
          <w:i/>
          <w:iCs/>
          <w:color w:val="000000" w:themeColor="text1"/>
          <w:sz w:val="32"/>
          <w:szCs w:val="32"/>
          <w:lang w:val="en-US" w:eastAsia="zh-CN"/>
          <w14:textFill>
            <w14:solidFill>
              <w14:schemeClr w14:val="tx1"/>
            </w14:solidFill>
          </w14:textFill>
        </w:rPr>
        <w:t>CMA</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或</w:t>
      </w:r>
      <w:r>
        <w:rPr>
          <w:rFonts w:hint="eastAsia" w:ascii="Times New Roman" w:hAnsi="Times New Roman" w:eastAsia="仿宋_GB2312" w:cs="仿宋_GB2312"/>
          <w:i/>
          <w:iCs/>
          <w:color w:val="000000" w:themeColor="text1"/>
          <w:sz w:val="32"/>
          <w:szCs w:val="32"/>
          <w:lang w:val="en-US" w:eastAsia="zh-CN"/>
          <w14:textFill>
            <w14:solidFill>
              <w14:schemeClr w14:val="tx1"/>
            </w14:solidFill>
          </w14:textFill>
        </w:rPr>
        <w:t>CNAS</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资质的检验机构（广州市穗粮粮油产品质量检测中心有限公司、惠州市粮油质量检测中心、广州市番禺粮食储备有限公司、佛山市禅城区粮油检测中心）进行了实验室间的联合试验。每个样品分别测量标准化学值、近红外预测值，其中近红外连续测定6次，结果如表6所示。从表6可知，不管是进口设备还是国产设备，其在四个实验室内部所测得的数据的标准偏差</w:t>
      </w:r>
      <w:r>
        <w:rPr>
          <w:rFonts w:hint="eastAsia" w:ascii="Times New Roman" w:hAnsi="Times New Roman"/>
          <w:i/>
          <w:iCs/>
          <w:sz w:val="32"/>
          <w:szCs w:val="32"/>
          <w:lang w:val="en-US" w:eastAsia="zh-CN"/>
        </w:rPr>
        <w:t>S</w:t>
      </w:r>
      <w:r>
        <w:rPr>
          <w:rFonts w:hint="eastAsia" w:ascii="Times New Roman" w:hAnsi="Times New Roman"/>
          <w:i/>
          <w:iCs/>
          <w:sz w:val="32"/>
          <w:szCs w:val="32"/>
          <w:vertAlign w:val="subscript"/>
          <w:lang w:val="en-US" w:eastAsia="zh-CN"/>
        </w:rPr>
        <w:t>r</w:t>
      </w:r>
      <w:r>
        <w:rPr>
          <w:rFonts w:hint="eastAsia" w:ascii="Times New Roman" w:hAnsi="Times New Roman"/>
          <w:i w:val="0"/>
          <w:iCs w:val="0"/>
          <w:sz w:val="32"/>
          <w:szCs w:val="32"/>
          <w:vertAlign w:val="baseline"/>
          <w:lang w:val="en-US" w:eastAsia="zh-CN"/>
        </w:rPr>
        <w:t>均</w:t>
      </w: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不超过0.4%，与重复性试验的结果一致；同一样品使用同一设备在不同实验室间测得的数据结果偏差不大，进口设备和国产设备</w:t>
      </w:r>
      <w:r>
        <w:rPr>
          <w:rFonts w:hint="eastAsia" w:ascii="Times New Roman" w:hAnsi="Times New Roman"/>
          <w:i/>
          <w:iCs/>
          <w:sz w:val="32"/>
          <w:szCs w:val="32"/>
          <w:lang w:val="en-US" w:eastAsia="zh-CN"/>
        </w:rPr>
        <w:t>S</w:t>
      </w:r>
      <w:r>
        <w:rPr>
          <w:rFonts w:hint="eastAsia" w:ascii="Times New Roman" w:hAnsi="Times New Roman"/>
          <w:i/>
          <w:iCs/>
          <w:sz w:val="32"/>
          <w:szCs w:val="32"/>
          <w:vertAlign w:val="subscript"/>
          <w:lang w:val="en-US" w:eastAsia="zh-CN"/>
        </w:rPr>
        <w:t>R</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的最大值分别为0.35%、0.40%；</w:t>
      </w: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同一样品使用同一设备在不同实验室间测得的近红外预测结果与标准化学值也具有较好的相关性（图8、9），说明近红外法准备可靠，适用于大米中直链淀粉的快速测定。</w:t>
      </w:r>
    </w:p>
    <w:p w14:paraId="69E3BEA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pPr>
      <w:r>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t>受条件限制，实验室间的设备难以统一，特别是国产设备，故本标准采用GB/T 15683-2025中技术路线1再现性的要求，规定“在不同实验室，由不同操作人员使用同一型号不同设备，按相同的测试方法，对相同的大米样品进行测试，两次独立测定的直链淀粉含量结果的绝对差值不应超过3.8%。”</w:t>
      </w:r>
    </w:p>
    <w:p w14:paraId="38E266A8">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pPr>
    </w:p>
    <w:p w14:paraId="1913D3F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仿宋_GB2312" w:cs="仿宋_GB2312"/>
          <w:color w:val="000000" w:themeColor="text1"/>
          <w:sz w:val="32"/>
          <w:szCs w:val="32"/>
          <w:lang w:val="en-US" w:eastAsia="zh-CN" w:bidi="ar"/>
          <w14:textFill>
            <w14:solidFill>
              <w14:schemeClr w14:val="tx1"/>
            </w14:solidFill>
          </w14:textFill>
        </w:rPr>
      </w:pPr>
    </w:p>
    <w:p w14:paraId="1F9D3BC4">
      <w:pPr>
        <w:keepNext w:val="0"/>
        <w:keepLines w:val="0"/>
        <w:pageBreakBefore w:val="0"/>
        <w:widowControl w:val="0"/>
        <w:kinsoku/>
        <w:wordWrap/>
        <w:overflowPunct/>
        <w:topLinePunct w:val="0"/>
        <w:bidi w:val="0"/>
        <w:adjustRightInd/>
        <w:snapToGrid/>
        <w:spacing w:line="600" w:lineRule="exact"/>
        <w:ind w:firstLine="420" w:firstLineChars="200"/>
        <w:jc w:val="left"/>
      </w:pPr>
    </w:p>
    <w:p w14:paraId="7DA162C9">
      <w:pPr>
        <w:keepNext w:val="0"/>
        <w:keepLines w:val="0"/>
        <w:pageBreakBefore w:val="0"/>
        <w:widowControl w:val="0"/>
        <w:kinsoku/>
        <w:wordWrap/>
        <w:overflowPunct/>
        <w:topLinePunct w:val="0"/>
        <w:bidi w:val="0"/>
        <w:adjustRightInd/>
        <w:snapToGrid/>
        <w:spacing w:line="600" w:lineRule="exact"/>
        <w:ind w:firstLine="420" w:firstLineChars="200"/>
        <w:jc w:val="left"/>
      </w:pPr>
    </w:p>
    <w:p w14:paraId="685469AF">
      <w:pPr>
        <w:keepNext w:val="0"/>
        <w:keepLines w:val="0"/>
        <w:pageBreakBefore w:val="0"/>
        <w:widowControl w:val="0"/>
        <w:kinsoku/>
        <w:wordWrap/>
        <w:overflowPunct/>
        <w:topLinePunct w:val="0"/>
        <w:bidi w:val="0"/>
        <w:adjustRightInd/>
        <w:snapToGrid/>
        <w:spacing w:line="600" w:lineRule="exact"/>
        <w:ind w:firstLine="420" w:firstLineChars="200"/>
        <w:jc w:val="left"/>
      </w:pPr>
    </w:p>
    <w:p w14:paraId="71471170">
      <w:pPr>
        <w:keepNext w:val="0"/>
        <w:keepLines w:val="0"/>
        <w:pageBreakBefore w:val="0"/>
        <w:widowControl w:val="0"/>
        <w:kinsoku/>
        <w:wordWrap/>
        <w:overflowPunct/>
        <w:topLinePunct w:val="0"/>
        <w:bidi w:val="0"/>
        <w:adjustRightInd/>
        <w:snapToGrid/>
        <w:spacing w:line="600" w:lineRule="exact"/>
        <w:ind w:firstLine="420" w:firstLineChars="200"/>
        <w:jc w:val="left"/>
      </w:pPr>
    </w:p>
    <w:p w14:paraId="5ADD73D3">
      <w:pPr>
        <w:keepNext w:val="0"/>
        <w:keepLines w:val="0"/>
        <w:pageBreakBefore w:val="0"/>
        <w:widowControl w:val="0"/>
        <w:kinsoku/>
        <w:wordWrap/>
        <w:overflowPunct/>
        <w:topLinePunct w:val="0"/>
        <w:bidi w:val="0"/>
        <w:adjustRightInd/>
        <w:snapToGrid/>
        <w:spacing w:line="600" w:lineRule="exact"/>
        <w:ind w:firstLine="420" w:firstLineChars="200"/>
        <w:jc w:val="left"/>
      </w:pPr>
    </w:p>
    <w:p w14:paraId="0AF56CA6">
      <w:pPr>
        <w:keepNext w:val="0"/>
        <w:keepLines w:val="0"/>
        <w:pageBreakBefore w:val="0"/>
        <w:widowControl w:val="0"/>
        <w:kinsoku/>
        <w:wordWrap/>
        <w:overflowPunct/>
        <w:topLinePunct w:val="0"/>
        <w:bidi w:val="0"/>
        <w:adjustRightInd/>
        <w:snapToGrid/>
        <w:spacing w:line="600" w:lineRule="exact"/>
        <w:jc w:val="center"/>
        <w:rPr>
          <w:rFonts w:hint="eastAsia" w:ascii="Times New Roman" w:hAnsi="Times New Roman" w:eastAsia="楷体"/>
          <w:b w:val="0"/>
          <w:bCs/>
          <w:szCs w:val="21"/>
          <w:lang w:eastAsia="zh-CN"/>
        </w:rPr>
      </w:pPr>
      <w:r>
        <w:drawing>
          <wp:anchor distT="0" distB="0" distL="114300" distR="114300" simplePos="0" relativeHeight="251662336" behindDoc="0" locked="0" layoutInCell="1" allowOverlap="1">
            <wp:simplePos x="0" y="0"/>
            <wp:positionH relativeFrom="column">
              <wp:posOffset>266700</wp:posOffset>
            </wp:positionH>
            <wp:positionV relativeFrom="paragraph">
              <wp:posOffset>-3162300</wp:posOffset>
            </wp:positionV>
            <wp:extent cx="5469890" cy="3175000"/>
            <wp:effectExtent l="0" t="0" r="16510" b="6350"/>
            <wp:wrapNone/>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Pr>
          <w:rFonts w:hint="eastAsia" w:ascii="Times New Roman" w:hAnsi="Times New Roman" w:eastAsia="楷体"/>
          <w:b w:val="0"/>
          <w:bCs/>
          <w:szCs w:val="21"/>
        </w:rPr>
        <w:t>图</w:t>
      </w:r>
      <w:r>
        <w:rPr>
          <w:rFonts w:hint="eastAsia" w:ascii="Times New Roman" w:hAnsi="Times New Roman" w:eastAsia="楷体"/>
          <w:b w:val="0"/>
          <w:bCs/>
          <w:szCs w:val="21"/>
          <w:lang w:val="en-US" w:eastAsia="zh-CN"/>
        </w:rPr>
        <w:t xml:space="preserve">8 </w:t>
      </w:r>
      <w:r>
        <w:rPr>
          <w:rFonts w:hint="eastAsia" w:ascii="Times New Roman" w:hAnsi="Times New Roman" w:eastAsia="楷体"/>
          <w:b w:val="0"/>
          <w:bCs/>
          <w:szCs w:val="21"/>
          <w:lang w:eastAsia="zh-CN"/>
        </w:rPr>
        <w:t>再现性样品直链淀粉含量预测值与化学值相关关系（进口设备）</w:t>
      </w:r>
    </w:p>
    <w:p w14:paraId="7A9529BC">
      <w:pPr>
        <w:keepNext w:val="0"/>
        <w:keepLines w:val="0"/>
        <w:pageBreakBefore w:val="0"/>
        <w:widowControl w:val="0"/>
        <w:kinsoku/>
        <w:wordWrap/>
        <w:overflowPunct/>
        <w:topLinePunct w:val="0"/>
        <w:bidi w:val="0"/>
        <w:adjustRightInd/>
        <w:snapToGrid/>
        <w:spacing w:line="600" w:lineRule="exact"/>
        <w:jc w:val="center"/>
        <w:rPr>
          <w:rFonts w:hint="eastAsia" w:ascii="Times New Roman" w:hAnsi="Times New Roman" w:eastAsia="楷体"/>
          <w:b w:val="0"/>
          <w:bCs/>
          <w:szCs w:val="21"/>
          <w:lang w:eastAsia="zh-CN"/>
        </w:rPr>
      </w:pPr>
      <w:r>
        <w:drawing>
          <wp:anchor distT="0" distB="0" distL="114300" distR="114300" simplePos="0" relativeHeight="251663360" behindDoc="0" locked="0" layoutInCell="1" allowOverlap="1">
            <wp:simplePos x="0" y="0"/>
            <wp:positionH relativeFrom="column">
              <wp:posOffset>293370</wp:posOffset>
            </wp:positionH>
            <wp:positionV relativeFrom="paragraph">
              <wp:posOffset>247650</wp:posOffset>
            </wp:positionV>
            <wp:extent cx="5050790" cy="2755900"/>
            <wp:effectExtent l="0" t="0" r="16510" b="6350"/>
            <wp:wrapNone/>
            <wp:docPr id="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351C3FAA">
      <w:pPr>
        <w:keepNext w:val="0"/>
        <w:keepLines w:val="0"/>
        <w:pageBreakBefore w:val="0"/>
        <w:widowControl w:val="0"/>
        <w:kinsoku/>
        <w:wordWrap/>
        <w:overflowPunct/>
        <w:topLinePunct w:val="0"/>
        <w:bidi w:val="0"/>
        <w:adjustRightInd/>
        <w:snapToGrid/>
        <w:spacing w:line="600" w:lineRule="exact"/>
        <w:jc w:val="center"/>
        <w:rPr>
          <w:rFonts w:hint="eastAsia" w:ascii="Times New Roman" w:hAnsi="Times New Roman" w:eastAsia="楷体"/>
          <w:b w:val="0"/>
          <w:bCs/>
          <w:szCs w:val="21"/>
          <w:lang w:eastAsia="zh-CN"/>
        </w:rPr>
      </w:pPr>
    </w:p>
    <w:p w14:paraId="0904ABC0">
      <w:pPr>
        <w:keepNext w:val="0"/>
        <w:keepLines w:val="0"/>
        <w:pageBreakBefore w:val="0"/>
        <w:widowControl w:val="0"/>
        <w:kinsoku/>
        <w:wordWrap/>
        <w:overflowPunct/>
        <w:topLinePunct w:val="0"/>
        <w:bidi w:val="0"/>
        <w:adjustRightInd/>
        <w:snapToGrid/>
        <w:spacing w:line="600" w:lineRule="exact"/>
        <w:jc w:val="center"/>
        <w:rPr>
          <w:rFonts w:hint="eastAsia" w:ascii="Times New Roman" w:hAnsi="Times New Roman" w:eastAsia="楷体"/>
          <w:b w:val="0"/>
          <w:bCs/>
          <w:szCs w:val="21"/>
          <w:lang w:eastAsia="zh-CN"/>
        </w:rPr>
      </w:pPr>
    </w:p>
    <w:p w14:paraId="76FA9491">
      <w:pPr>
        <w:keepNext w:val="0"/>
        <w:keepLines w:val="0"/>
        <w:pageBreakBefore w:val="0"/>
        <w:widowControl w:val="0"/>
        <w:kinsoku/>
        <w:wordWrap/>
        <w:overflowPunct/>
        <w:topLinePunct w:val="0"/>
        <w:bidi w:val="0"/>
        <w:adjustRightInd/>
        <w:snapToGrid/>
        <w:spacing w:line="600" w:lineRule="exact"/>
        <w:jc w:val="center"/>
        <w:rPr>
          <w:rFonts w:hint="eastAsia" w:ascii="Times New Roman" w:hAnsi="Times New Roman" w:eastAsia="楷体"/>
          <w:b w:val="0"/>
          <w:bCs/>
          <w:szCs w:val="21"/>
          <w:lang w:eastAsia="zh-CN"/>
        </w:rPr>
      </w:pPr>
    </w:p>
    <w:p w14:paraId="6F146D72">
      <w:pPr>
        <w:keepNext w:val="0"/>
        <w:keepLines w:val="0"/>
        <w:pageBreakBefore w:val="0"/>
        <w:widowControl w:val="0"/>
        <w:kinsoku/>
        <w:wordWrap/>
        <w:overflowPunct/>
        <w:topLinePunct w:val="0"/>
        <w:bidi w:val="0"/>
        <w:adjustRightInd/>
        <w:snapToGrid/>
        <w:spacing w:line="600" w:lineRule="exact"/>
        <w:jc w:val="center"/>
        <w:rPr>
          <w:rFonts w:hint="eastAsia" w:ascii="Times New Roman" w:hAnsi="Times New Roman" w:eastAsia="楷体"/>
          <w:b w:val="0"/>
          <w:bCs/>
          <w:szCs w:val="21"/>
          <w:lang w:eastAsia="zh-CN"/>
        </w:rPr>
      </w:pPr>
    </w:p>
    <w:p w14:paraId="70D1F3E7">
      <w:pPr>
        <w:keepNext w:val="0"/>
        <w:keepLines w:val="0"/>
        <w:pageBreakBefore w:val="0"/>
        <w:widowControl w:val="0"/>
        <w:kinsoku/>
        <w:wordWrap/>
        <w:overflowPunct/>
        <w:topLinePunct w:val="0"/>
        <w:bidi w:val="0"/>
        <w:adjustRightInd/>
        <w:snapToGrid/>
        <w:spacing w:line="600" w:lineRule="exact"/>
        <w:jc w:val="center"/>
        <w:rPr>
          <w:rFonts w:hint="eastAsia" w:ascii="Times New Roman" w:hAnsi="Times New Roman" w:eastAsia="楷体"/>
          <w:b w:val="0"/>
          <w:bCs/>
          <w:szCs w:val="21"/>
          <w:lang w:eastAsia="zh-CN"/>
        </w:rPr>
      </w:pPr>
    </w:p>
    <w:p w14:paraId="2573B060">
      <w:pPr>
        <w:keepNext w:val="0"/>
        <w:keepLines w:val="0"/>
        <w:pageBreakBefore w:val="0"/>
        <w:widowControl w:val="0"/>
        <w:kinsoku/>
        <w:wordWrap/>
        <w:overflowPunct/>
        <w:topLinePunct w:val="0"/>
        <w:bidi w:val="0"/>
        <w:adjustRightInd/>
        <w:snapToGrid/>
        <w:spacing w:line="600" w:lineRule="exact"/>
        <w:jc w:val="center"/>
        <w:rPr>
          <w:rFonts w:hint="eastAsia" w:ascii="Times New Roman" w:hAnsi="Times New Roman" w:eastAsia="楷体"/>
          <w:b w:val="0"/>
          <w:bCs/>
          <w:szCs w:val="21"/>
          <w:lang w:eastAsia="zh-CN"/>
        </w:rPr>
      </w:pPr>
      <w:r>
        <w:rPr>
          <w:rFonts w:hint="eastAsia" w:ascii="Times New Roman" w:hAnsi="Times New Roman" w:eastAsia="楷体"/>
          <w:b w:val="0"/>
          <w:bCs/>
          <w:szCs w:val="21"/>
          <w:lang w:eastAsia="zh-CN"/>
        </w:rPr>
        <w:t>图</w:t>
      </w:r>
      <w:r>
        <w:rPr>
          <w:rFonts w:hint="eastAsia" w:ascii="Times New Roman" w:hAnsi="Times New Roman" w:eastAsia="楷体"/>
          <w:b w:val="0"/>
          <w:bCs/>
          <w:szCs w:val="21"/>
          <w:lang w:val="en-US" w:eastAsia="zh-CN"/>
        </w:rPr>
        <w:t xml:space="preserve">9 </w:t>
      </w:r>
      <w:r>
        <w:rPr>
          <w:rFonts w:hint="eastAsia" w:ascii="Times New Roman" w:hAnsi="Times New Roman" w:eastAsia="楷体"/>
          <w:b w:val="0"/>
          <w:bCs/>
          <w:szCs w:val="21"/>
          <w:lang w:eastAsia="zh-CN"/>
        </w:rPr>
        <w:t>再现性样品直链淀粉含量预测值与化学值相关关系（国产设备）</w:t>
      </w:r>
    </w:p>
    <w:p w14:paraId="6950A922">
      <w:pPr>
        <w:keepNext w:val="0"/>
        <w:keepLines w:val="0"/>
        <w:pageBreakBefore w:val="0"/>
        <w:widowControl w:val="0"/>
        <w:kinsoku/>
        <w:wordWrap/>
        <w:overflowPunct/>
        <w:topLinePunct w:val="0"/>
        <w:bidi w:val="0"/>
        <w:adjustRightInd/>
        <w:snapToGrid/>
        <w:spacing w:line="600" w:lineRule="exact"/>
        <w:jc w:val="center"/>
        <w:rPr>
          <w:rFonts w:hint="eastAsia" w:ascii="Times New Roman" w:hAnsi="Times New Roman" w:eastAsia="楷体"/>
          <w:b w:val="0"/>
          <w:bCs/>
          <w:szCs w:val="21"/>
          <w:lang w:eastAsia="zh-CN"/>
        </w:rPr>
        <w:sectPr>
          <w:footerReference r:id="rId5" w:type="default"/>
          <w:pgSz w:w="11906" w:h="16838"/>
          <w:pgMar w:top="2098" w:right="1474" w:bottom="1984" w:left="1587" w:header="851" w:footer="992" w:gutter="0"/>
          <w:pgBorders>
            <w:top w:val="none" w:sz="0" w:space="0"/>
            <w:left w:val="none" w:sz="0" w:space="0"/>
            <w:bottom w:val="none" w:sz="0" w:space="0"/>
            <w:right w:val="none" w:sz="0" w:space="0"/>
          </w:pgBorders>
          <w:cols w:space="0" w:num="1"/>
          <w:docGrid w:type="lines" w:linePitch="315" w:charSpace="0"/>
        </w:sectPr>
      </w:pPr>
    </w:p>
    <w:p w14:paraId="48F967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
          <w:b w:val="0"/>
          <w:bCs/>
          <w:szCs w:val="21"/>
          <w:lang w:val="en-US" w:eastAsia="zh-CN"/>
        </w:rPr>
      </w:pPr>
      <w:r>
        <w:rPr>
          <w:rFonts w:hint="eastAsia" w:ascii="Times New Roman" w:hAnsi="Times New Roman" w:eastAsia="楷体"/>
          <w:b w:val="0"/>
          <w:bCs/>
          <w:szCs w:val="21"/>
        </w:rPr>
        <w:t>表</w:t>
      </w:r>
      <w:r>
        <w:rPr>
          <w:rFonts w:hint="eastAsia" w:ascii="Times New Roman" w:hAnsi="Times New Roman" w:eastAsia="楷体"/>
          <w:b w:val="0"/>
          <w:bCs/>
          <w:szCs w:val="21"/>
          <w:lang w:val="en-US" w:eastAsia="zh-CN"/>
        </w:rPr>
        <w:t>5  平行测试结果分析          %</w:t>
      </w:r>
    </w:p>
    <w:tbl>
      <w:tblPr>
        <w:tblStyle w:val="9"/>
        <w:tblpPr w:leftFromText="180" w:rightFromText="180" w:vertAnchor="text" w:horzAnchor="page" w:tblpX="1847" w:tblpY="208"/>
        <w:tblOverlap w:val="never"/>
        <w:tblW w:w="5442" w:type="pct"/>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12"/>
        <w:gridCol w:w="768"/>
        <w:gridCol w:w="768"/>
        <w:gridCol w:w="768"/>
        <w:gridCol w:w="768"/>
        <w:gridCol w:w="768"/>
        <w:gridCol w:w="768"/>
        <w:gridCol w:w="768"/>
        <w:gridCol w:w="647"/>
        <w:gridCol w:w="675"/>
        <w:gridCol w:w="768"/>
        <w:gridCol w:w="768"/>
        <w:gridCol w:w="771"/>
        <w:gridCol w:w="771"/>
        <w:gridCol w:w="771"/>
        <w:gridCol w:w="772"/>
        <w:gridCol w:w="772"/>
        <w:gridCol w:w="651"/>
        <w:gridCol w:w="665"/>
      </w:tblGrid>
      <w:tr w14:paraId="075DA176">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exact"/>
        </w:trPr>
        <w:tc>
          <w:tcPr>
            <w:tcW w:w="252" w:type="pct"/>
            <w:vMerge w:val="restart"/>
            <w:tcBorders>
              <w:right w:val="nil"/>
            </w:tcBorders>
            <w:noWrap w:val="0"/>
            <w:vAlign w:val="center"/>
          </w:tcPr>
          <w:p w14:paraId="203B7D2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仿宋_GB2312" w:cs="仿宋_GB2312"/>
                <w:sz w:val="18"/>
                <w:szCs w:val="18"/>
                <w:lang w:val="en-US" w:eastAsia="zh-CN"/>
              </w:rPr>
              <w:t>验证集样品序号</w:t>
            </w:r>
          </w:p>
        </w:tc>
        <w:tc>
          <w:tcPr>
            <w:tcW w:w="2372" w:type="pct"/>
            <w:gridSpan w:val="9"/>
            <w:tcBorders>
              <w:bottom w:val="single" w:color="auto" w:sz="4" w:space="0"/>
            </w:tcBorders>
            <w:noWrap w:val="0"/>
            <w:vAlign w:val="center"/>
          </w:tcPr>
          <w:p w14:paraId="656ABC6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仿宋_GB2312" w:cs="仿宋_GB2312"/>
                <w:sz w:val="18"/>
                <w:szCs w:val="18"/>
                <w:lang w:val="en-US" w:eastAsia="zh-CN"/>
              </w:rPr>
            </w:pPr>
            <w:r>
              <w:rPr>
                <w:rFonts w:hint="eastAsia" w:ascii="Times New Roman" w:hAnsi="Times New Roman" w:eastAsia="仿宋_GB2312" w:cs="仿宋_GB2312"/>
                <w:sz w:val="18"/>
                <w:szCs w:val="18"/>
                <w:lang w:val="en-US" w:eastAsia="zh-CN"/>
              </w:rPr>
              <w:t>进口设备</w:t>
            </w:r>
          </w:p>
        </w:tc>
        <w:tc>
          <w:tcPr>
            <w:tcW w:w="2374" w:type="pct"/>
            <w:gridSpan w:val="9"/>
            <w:tcBorders>
              <w:bottom w:val="single" w:color="000000" w:sz="6" w:space="0"/>
            </w:tcBorders>
            <w:noWrap w:val="0"/>
            <w:vAlign w:val="center"/>
          </w:tcPr>
          <w:p w14:paraId="6F41AE0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仿宋_GB2312" w:cs="仿宋_GB2312"/>
                <w:sz w:val="18"/>
                <w:szCs w:val="18"/>
                <w:lang w:val="en-US" w:eastAsia="zh-CN"/>
              </w:rPr>
            </w:pPr>
            <w:r>
              <w:rPr>
                <w:rFonts w:hint="eastAsia" w:ascii="Times New Roman" w:hAnsi="Times New Roman" w:eastAsia="仿宋_GB2312" w:cs="仿宋_GB2312"/>
                <w:sz w:val="18"/>
                <w:szCs w:val="18"/>
                <w:lang w:val="en-US" w:eastAsia="zh-CN"/>
              </w:rPr>
              <w:t>国产设备</w:t>
            </w:r>
          </w:p>
        </w:tc>
      </w:tr>
      <w:tr w14:paraId="1FC03E4A">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7" w:hRule="exact"/>
        </w:trPr>
        <w:tc>
          <w:tcPr>
            <w:tcW w:w="252" w:type="pct"/>
            <w:vMerge w:val="continue"/>
            <w:tcBorders>
              <w:bottom w:val="single" w:color="000000" w:sz="6" w:space="0"/>
              <w:right w:val="nil"/>
            </w:tcBorders>
            <w:noWrap w:val="0"/>
            <w:vAlign w:val="center"/>
          </w:tcPr>
          <w:p w14:paraId="31B492C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p>
        </w:tc>
        <w:tc>
          <w:tcPr>
            <w:tcW w:w="272" w:type="pct"/>
            <w:tcBorders>
              <w:top w:val="single" w:color="auto" w:sz="4" w:space="0"/>
              <w:bottom w:val="single" w:color="000000" w:sz="6" w:space="0"/>
              <w:right w:val="nil"/>
            </w:tcBorders>
            <w:noWrap w:val="0"/>
            <w:vAlign w:val="center"/>
          </w:tcPr>
          <w:p w14:paraId="5BB3DF8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仿宋_GB2312" w:cs="仿宋_GB2312"/>
                <w:sz w:val="18"/>
                <w:szCs w:val="18"/>
                <w:lang w:val="en-US" w:eastAsia="zh-CN"/>
              </w:rPr>
            </w:pPr>
            <w:r>
              <w:rPr>
                <w:rFonts w:hint="eastAsia" w:ascii="Times New Roman" w:hAnsi="Times New Roman" w:eastAsia="仿宋_GB2312" w:cs="仿宋_GB2312"/>
                <w:sz w:val="18"/>
                <w:szCs w:val="18"/>
                <w:lang w:val="en-US" w:eastAsia="zh-CN"/>
              </w:rPr>
              <w:t>测试1</w:t>
            </w:r>
          </w:p>
        </w:tc>
        <w:tc>
          <w:tcPr>
            <w:tcW w:w="272" w:type="pct"/>
            <w:tcBorders>
              <w:top w:val="single" w:color="auto" w:sz="4" w:space="0"/>
              <w:bottom w:val="single" w:color="000000" w:sz="6" w:space="0"/>
              <w:right w:val="nil"/>
            </w:tcBorders>
            <w:noWrap w:val="0"/>
            <w:vAlign w:val="center"/>
          </w:tcPr>
          <w:p w14:paraId="23BDA33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仿宋_GB2312" w:cs="仿宋_GB2312"/>
                <w:sz w:val="18"/>
                <w:szCs w:val="18"/>
                <w:lang w:val="en-US" w:eastAsia="zh-CN"/>
              </w:rPr>
            </w:pPr>
            <w:r>
              <w:rPr>
                <w:rFonts w:hint="eastAsia" w:ascii="Times New Roman" w:hAnsi="Times New Roman" w:eastAsia="仿宋_GB2312" w:cs="仿宋_GB2312"/>
                <w:sz w:val="18"/>
                <w:szCs w:val="18"/>
                <w:lang w:val="en-US" w:eastAsia="zh-CN"/>
              </w:rPr>
              <w:t>测试2</w:t>
            </w:r>
          </w:p>
        </w:tc>
        <w:tc>
          <w:tcPr>
            <w:tcW w:w="272" w:type="pct"/>
            <w:tcBorders>
              <w:top w:val="single" w:color="auto" w:sz="4" w:space="0"/>
              <w:bottom w:val="single" w:color="000000" w:sz="6" w:space="0"/>
              <w:right w:val="nil"/>
            </w:tcBorders>
            <w:noWrap w:val="0"/>
            <w:vAlign w:val="center"/>
          </w:tcPr>
          <w:p w14:paraId="51626D4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仿宋_GB2312" w:cs="仿宋_GB2312"/>
                <w:sz w:val="18"/>
                <w:szCs w:val="18"/>
                <w:lang w:val="en-US" w:eastAsia="zh-CN"/>
              </w:rPr>
            </w:pPr>
            <w:r>
              <w:rPr>
                <w:rFonts w:hint="eastAsia" w:ascii="Times New Roman" w:hAnsi="Times New Roman" w:eastAsia="仿宋_GB2312" w:cs="仿宋_GB2312"/>
                <w:sz w:val="18"/>
                <w:szCs w:val="18"/>
                <w:lang w:val="en-US" w:eastAsia="zh-CN"/>
              </w:rPr>
              <w:t>测试3</w:t>
            </w:r>
          </w:p>
        </w:tc>
        <w:tc>
          <w:tcPr>
            <w:tcW w:w="272" w:type="pct"/>
            <w:tcBorders>
              <w:top w:val="single" w:color="auto" w:sz="4" w:space="0"/>
              <w:bottom w:val="single" w:color="000000" w:sz="6" w:space="0"/>
              <w:right w:val="nil"/>
            </w:tcBorders>
            <w:noWrap w:val="0"/>
            <w:vAlign w:val="center"/>
          </w:tcPr>
          <w:p w14:paraId="0CE9693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仿宋_GB2312" w:cs="仿宋_GB2312"/>
                <w:sz w:val="18"/>
                <w:szCs w:val="18"/>
                <w:lang w:val="en-US" w:eastAsia="zh-CN"/>
              </w:rPr>
            </w:pPr>
            <w:r>
              <w:rPr>
                <w:rFonts w:hint="eastAsia" w:ascii="Times New Roman" w:hAnsi="Times New Roman" w:eastAsia="仿宋_GB2312" w:cs="仿宋_GB2312"/>
                <w:sz w:val="18"/>
                <w:szCs w:val="18"/>
                <w:lang w:val="en-US" w:eastAsia="zh-CN"/>
              </w:rPr>
              <w:t>测试4</w:t>
            </w:r>
          </w:p>
        </w:tc>
        <w:tc>
          <w:tcPr>
            <w:tcW w:w="272" w:type="pct"/>
            <w:tcBorders>
              <w:top w:val="single" w:color="auto" w:sz="4" w:space="0"/>
              <w:bottom w:val="single" w:color="000000" w:sz="6" w:space="0"/>
              <w:right w:val="nil"/>
            </w:tcBorders>
            <w:noWrap w:val="0"/>
            <w:vAlign w:val="center"/>
          </w:tcPr>
          <w:p w14:paraId="3134003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仿宋_GB2312" w:cs="仿宋_GB2312"/>
                <w:sz w:val="18"/>
                <w:szCs w:val="18"/>
                <w:lang w:val="en-US" w:eastAsia="zh-CN"/>
              </w:rPr>
            </w:pPr>
            <w:r>
              <w:rPr>
                <w:rFonts w:hint="eastAsia" w:ascii="Times New Roman" w:hAnsi="Times New Roman" w:eastAsia="仿宋_GB2312" w:cs="仿宋_GB2312"/>
                <w:sz w:val="18"/>
                <w:szCs w:val="18"/>
                <w:lang w:val="en-US" w:eastAsia="zh-CN"/>
              </w:rPr>
              <w:t>测试5</w:t>
            </w:r>
          </w:p>
        </w:tc>
        <w:tc>
          <w:tcPr>
            <w:tcW w:w="272" w:type="pct"/>
            <w:tcBorders>
              <w:top w:val="single" w:color="auto" w:sz="4" w:space="0"/>
              <w:bottom w:val="single" w:color="000000" w:sz="6" w:space="0"/>
              <w:right w:val="nil"/>
            </w:tcBorders>
            <w:noWrap w:val="0"/>
            <w:vAlign w:val="center"/>
          </w:tcPr>
          <w:p w14:paraId="768B9CB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仿宋_GB2312" w:cs="仿宋_GB2312"/>
                <w:sz w:val="18"/>
                <w:szCs w:val="18"/>
                <w:lang w:val="en-US" w:eastAsia="zh-CN"/>
              </w:rPr>
            </w:pPr>
            <w:r>
              <w:rPr>
                <w:rFonts w:hint="eastAsia" w:ascii="Times New Roman" w:hAnsi="Times New Roman" w:eastAsia="仿宋_GB2312" w:cs="仿宋_GB2312"/>
                <w:sz w:val="18"/>
                <w:szCs w:val="18"/>
                <w:lang w:val="en-US" w:eastAsia="zh-CN"/>
              </w:rPr>
              <w:t>测试6</w:t>
            </w:r>
          </w:p>
        </w:tc>
        <w:tc>
          <w:tcPr>
            <w:tcW w:w="272" w:type="pct"/>
            <w:tcBorders>
              <w:top w:val="single" w:color="auto" w:sz="4" w:space="0"/>
              <w:bottom w:val="single" w:color="000000" w:sz="6" w:space="0"/>
            </w:tcBorders>
            <w:noWrap w:val="0"/>
            <w:vAlign w:val="center"/>
          </w:tcPr>
          <w:p w14:paraId="0466781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仿宋_GB2312"/>
                <w:sz w:val="18"/>
                <w:szCs w:val="18"/>
                <w:lang w:val="en-US" w:eastAsia="zh-CN"/>
              </w:rPr>
            </w:pPr>
            <w:r>
              <w:rPr>
                <w:rFonts w:hint="eastAsia" w:ascii="Times New Roman" w:hAnsi="Times New Roman" w:eastAsia="仿宋_GB2312" w:cs="仿宋_GB2312"/>
                <w:sz w:val="18"/>
                <w:szCs w:val="18"/>
                <w:lang w:val="en-US" w:eastAsia="zh-CN"/>
              </w:rPr>
              <w:t>平均值</w:t>
            </w:r>
          </w:p>
        </w:tc>
        <w:tc>
          <w:tcPr>
            <w:tcW w:w="229" w:type="pct"/>
            <w:tcBorders>
              <w:top w:val="single" w:color="auto" w:sz="4" w:space="0"/>
              <w:bottom w:val="single" w:color="000000" w:sz="6" w:space="0"/>
            </w:tcBorders>
            <w:noWrap w:val="0"/>
            <w:vAlign w:val="center"/>
          </w:tcPr>
          <w:p w14:paraId="245659D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仿宋_GB2312"/>
                <w:sz w:val="18"/>
                <w:szCs w:val="18"/>
                <w:lang w:val="en-US" w:eastAsia="zh-CN"/>
              </w:rPr>
            </w:pPr>
            <w:r>
              <w:rPr>
                <w:rFonts w:hint="eastAsia" w:ascii="Times New Roman" w:hAnsi="Times New Roman" w:eastAsia="仿宋_GB2312" w:cs="仿宋_GB2312"/>
                <w:sz w:val="18"/>
                <w:szCs w:val="18"/>
                <w:lang w:val="en-US" w:eastAsia="zh-CN"/>
              </w:rPr>
              <w:t>极差</w:t>
            </w:r>
          </w:p>
        </w:tc>
        <w:tc>
          <w:tcPr>
            <w:tcW w:w="233" w:type="pct"/>
            <w:tcBorders>
              <w:top w:val="single" w:color="auto" w:sz="4" w:space="0"/>
              <w:bottom w:val="single" w:color="000000" w:sz="6" w:space="0"/>
            </w:tcBorders>
            <w:noWrap w:val="0"/>
            <w:vAlign w:val="center"/>
          </w:tcPr>
          <w:p w14:paraId="25B817D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sz w:val="18"/>
                <w:szCs w:val="18"/>
                <w:lang w:val="en-US" w:eastAsia="zh-CN"/>
              </w:rPr>
            </w:pPr>
            <w:r>
              <w:rPr>
                <w:rFonts w:hint="eastAsia" w:ascii="Times New Roman" w:hAnsi="Times New Roman" w:eastAsia="仿宋_GB2312" w:cs="仿宋_GB2312"/>
                <w:sz w:val="18"/>
                <w:szCs w:val="18"/>
                <w:lang w:val="en-US" w:eastAsia="zh-CN"/>
              </w:rPr>
              <w:t>标准偏差</w:t>
            </w:r>
            <w:r>
              <w:rPr>
                <w:rFonts w:hint="eastAsia" w:ascii="Times New Roman" w:hAnsi="Times New Roman"/>
                <w:i/>
                <w:iCs/>
                <w:sz w:val="18"/>
                <w:szCs w:val="18"/>
                <w:lang w:val="en-US" w:eastAsia="zh-CN"/>
              </w:rPr>
              <w:t>S</w:t>
            </w:r>
            <w:r>
              <w:rPr>
                <w:rFonts w:hint="eastAsia" w:ascii="Times New Roman" w:hAnsi="Times New Roman"/>
                <w:i/>
                <w:iCs/>
                <w:sz w:val="18"/>
                <w:szCs w:val="18"/>
                <w:vertAlign w:val="subscript"/>
                <w:lang w:val="en-US" w:eastAsia="zh-CN"/>
              </w:rPr>
              <w:t>r</w:t>
            </w:r>
          </w:p>
        </w:tc>
        <w:tc>
          <w:tcPr>
            <w:tcW w:w="272" w:type="pct"/>
            <w:tcBorders>
              <w:bottom w:val="single" w:color="000000" w:sz="6" w:space="0"/>
            </w:tcBorders>
            <w:noWrap w:val="0"/>
            <w:vAlign w:val="center"/>
          </w:tcPr>
          <w:p w14:paraId="2582BD7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仿宋_GB2312" w:cs="仿宋_GB2312"/>
                <w:sz w:val="18"/>
                <w:szCs w:val="18"/>
                <w:lang w:val="en-US" w:eastAsia="zh-CN"/>
              </w:rPr>
            </w:pPr>
            <w:r>
              <w:rPr>
                <w:rFonts w:hint="eastAsia" w:ascii="Times New Roman" w:hAnsi="Times New Roman" w:eastAsia="仿宋_GB2312" w:cs="仿宋_GB2312"/>
                <w:sz w:val="18"/>
                <w:szCs w:val="18"/>
                <w:lang w:val="en-US" w:eastAsia="zh-CN"/>
              </w:rPr>
              <w:t>测试1</w:t>
            </w:r>
          </w:p>
        </w:tc>
        <w:tc>
          <w:tcPr>
            <w:tcW w:w="272" w:type="pct"/>
            <w:tcBorders>
              <w:bottom w:val="single" w:color="000000" w:sz="6" w:space="0"/>
            </w:tcBorders>
            <w:noWrap w:val="0"/>
            <w:vAlign w:val="center"/>
          </w:tcPr>
          <w:p w14:paraId="2BC5819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仿宋_GB2312" w:cs="仿宋_GB2312"/>
                <w:sz w:val="18"/>
                <w:szCs w:val="18"/>
                <w:lang w:val="en-US" w:eastAsia="zh-CN"/>
              </w:rPr>
            </w:pPr>
            <w:r>
              <w:rPr>
                <w:rFonts w:hint="eastAsia" w:ascii="Times New Roman" w:hAnsi="Times New Roman" w:eastAsia="仿宋_GB2312" w:cs="仿宋_GB2312"/>
                <w:sz w:val="18"/>
                <w:szCs w:val="18"/>
                <w:lang w:val="en-US" w:eastAsia="zh-CN"/>
              </w:rPr>
              <w:t>测试2</w:t>
            </w:r>
          </w:p>
        </w:tc>
        <w:tc>
          <w:tcPr>
            <w:tcW w:w="273" w:type="pct"/>
            <w:tcBorders>
              <w:bottom w:val="single" w:color="000000" w:sz="6" w:space="0"/>
            </w:tcBorders>
            <w:noWrap w:val="0"/>
            <w:vAlign w:val="center"/>
          </w:tcPr>
          <w:p w14:paraId="08A15F9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仿宋_GB2312" w:cs="仿宋_GB2312"/>
                <w:sz w:val="18"/>
                <w:szCs w:val="18"/>
                <w:lang w:val="en-US" w:eastAsia="zh-CN"/>
              </w:rPr>
            </w:pPr>
            <w:r>
              <w:rPr>
                <w:rFonts w:hint="eastAsia" w:ascii="Times New Roman" w:hAnsi="Times New Roman" w:eastAsia="仿宋_GB2312" w:cs="仿宋_GB2312"/>
                <w:sz w:val="18"/>
                <w:szCs w:val="18"/>
                <w:lang w:val="en-US" w:eastAsia="zh-CN"/>
              </w:rPr>
              <w:t>测试3</w:t>
            </w:r>
          </w:p>
        </w:tc>
        <w:tc>
          <w:tcPr>
            <w:tcW w:w="273" w:type="pct"/>
            <w:tcBorders>
              <w:bottom w:val="single" w:color="000000" w:sz="6" w:space="0"/>
            </w:tcBorders>
            <w:noWrap w:val="0"/>
            <w:vAlign w:val="center"/>
          </w:tcPr>
          <w:p w14:paraId="16960EB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仿宋_GB2312" w:cs="仿宋_GB2312"/>
                <w:sz w:val="18"/>
                <w:szCs w:val="18"/>
                <w:lang w:val="en-US" w:eastAsia="zh-CN"/>
              </w:rPr>
            </w:pPr>
            <w:r>
              <w:rPr>
                <w:rFonts w:hint="eastAsia" w:ascii="Times New Roman" w:hAnsi="Times New Roman" w:eastAsia="仿宋_GB2312" w:cs="仿宋_GB2312"/>
                <w:sz w:val="18"/>
                <w:szCs w:val="18"/>
                <w:lang w:val="en-US" w:eastAsia="zh-CN"/>
              </w:rPr>
              <w:t>测试4</w:t>
            </w:r>
          </w:p>
        </w:tc>
        <w:tc>
          <w:tcPr>
            <w:tcW w:w="273" w:type="pct"/>
            <w:tcBorders>
              <w:bottom w:val="single" w:color="000000" w:sz="6" w:space="0"/>
            </w:tcBorders>
            <w:noWrap w:val="0"/>
            <w:vAlign w:val="center"/>
          </w:tcPr>
          <w:p w14:paraId="3C033C5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仿宋_GB2312" w:cs="仿宋_GB2312"/>
                <w:sz w:val="18"/>
                <w:szCs w:val="18"/>
                <w:lang w:val="en-US" w:eastAsia="zh-CN"/>
              </w:rPr>
            </w:pPr>
            <w:r>
              <w:rPr>
                <w:rFonts w:hint="eastAsia" w:ascii="Times New Roman" w:hAnsi="Times New Roman" w:eastAsia="仿宋_GB2312" w:cs="仿宋_GB2312"/>
                <w:sz w:val="18"/>
                <w:szCs w:val="18"/>
                <w:lang w:val="en-US" w:eastAsia="zh-CN"/>
              </w:rPr>
              <w:t>测试5</w:t>
            </w:r>
          </w:p>
        </w:tc>
        <w:tc>
          <w:tcPr>
            <w:tcW w:w="273" w:type="pct"/>
            <w:tcBorders>
              <w:bottom w:val="single" w:color="000000" w:sz="6" w:space="0"/>
            </w:tcBorders>
            <w:noWrap w:val="0"/>
            <w:vAlign w:val="center"/>
          </w:tcPr>
          <w:p w14:paraId="7353120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仿宋_GB2312" w:cs="仿宋_GB2312"/>
                <w:sz w:val="18"/>
                <w:szCs w:val="18"/>
                <w:lang w:val="en-US" w:eastAsia="zh-CN"/>
              </w:rPr>
            </w:pPr>
            <w:r>
              <w:rPr>
                <w:rFonts w:hint="eastAsia" w:ascii="Times New Roman" w:hAnsi="Times New Roman" w:eastAsia="仿宋_GB2312" w:cs="仿宋_GB2312"/>
                <w:sz w:val="18"/>
                <w:szCs w:val="18"/>
                <w:lang w:val="en-US" w:eastAsia="zh-CN"/>
              </w:rPr>
              <w:t>测试6</w:t>
            </w:r>
          </w:p>
        </w:tc>
        <w:tc>
          <w:tcPr>
            <w:tcW w:w="273" w:type="pct"/>
            <w:tcBorders>
              <w:bottom w:val="single" w:color="000000" w:sz="6" w:space="0"/>
            </w:tcBorders>
            <w:noWrap w:val="0"/>
            <w:vAlign w:val="center"/>
          </w:tcPr>
          <w:p w14:paraId="1237F4A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仿宋_GB2312" w:cs="仿宋_GB2312"/>
                <w:sz w:val="18"/>
                <w:szCs w:val="18"/>
                <w:lang w:val="en-US" w:eastAsia="zh-CN"/>
              </w:rPr>
            </w:pPr>
            <w:r>
              <w:rPr>
                <w:rFonts w:hint="eastAsia" w:ascii="Times New Roman" w:hAnsi="Times New Roman" w:eastAsia="仿宋_GB2312" w:cs="仿宋_GB2312"/>
                <w:sz w:val="18"/>
                <w:szCs w:val="18"/>
                <w:lang w:val="en-US" w:eastAsia="zh-CN"/>
              </w:rPr>
              <w:t>平均值</w:t>
            </w:r>
          </w:p>
        </w:tc>
        <w:tc>
          <w:tcPr>
            <w:tcW w:w="230" w:type="pct"/>
            <w:tcBorders>
              <w:bottom w:val="single" w:color="000000" w:sz="6" w:space="0"/>
            </w:tcBorders>
            <w:noWrap w:val="0"/>
            <w:vAlign w:val="center"/>
          </w:tcPr>
          <w:p w14:paraId="16146F6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仿宋_GB2312"/>
                <w:sz w:val="18"/>
                <w:szCs w:val="18"/>
                <w:lang w:val="en-US" w:eastAsia="zh-CN"/>
              </w:rPr>
            </w:pPr>
            <w:r>
              <w:rPr>
                <w:rFonts w:hint="eastAsia" w:ascii="Times New Roman" w:hAnsi="Times New Roman" w:eastAsia="仿宋_GB2312" w:cs="仿宋_GB2312"/>
                <w:sz w:val="18"/>
                <w:szCs w:val="18"/>
                <w:lang w:val="en-US" w:eastAsia="zh-CN"/>
              </w:rPr>
              <w:t>极差</w:t>
            </w:r>
          </w:p>
        </w:tc>
        <w:tc>
          <w:tcPr>
            <w:tcW w:w="234" w:type="pct"/>
            <w:tcBorders>
              <w:bottom w:val="single" w:color="000000" w:sz="6" w:space="0"/>
            </w:tcBorders>
            <w:noWrap w:val="0"/>
            <w:vAlign w:val="center"/>
          </w:tcPr>
          <w:p w14:paraId="5634CE4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仿宋_GB2312" w:cs="仿宋_GB2312"/>
                <w:sz w:val="18"/>
                <w:szCs w:val="18"/>
                <w:lang w:val="en-US" w:eastAsia="zh-CN"/>
              </w:rPr>
              <w:t>标准偏差</w:t>
            </w:r>
            <w:r>
              <w:rPr>
                <w:rFonts w:hint="eastAsia" w:ascii="Times New Roman" w:hAnsi="Times New Roman"/>
                <w:i/>
                <w:iCs/>
                <w:sz w:val="18"/>
                <w:szCs w:val="18"/>
                <w:lang w:val="en-US" w:eastAsia="zh-CN"/>
              </w:rPr>
              <w:t>S</w:t>
            </w:r>
            <w:r>
              <w:rPr>
                <w:rFonts w:hint="eastAsia" w:ascii="Times New Roman" w:hAnsi="Times New Roman"/>
                <w:i/>
                <w:iCs/>
                <w:sz w:val="18"/>
                <w:szCs w:val="18"/>
                <w:vertAlign w:val="subscript"/>
                <w:lang w:val="en-US" w:eastAsia="zh-CN"/>
              </w:rPr>
              <w:t>r</w:t>
            </w:r>
          </w:p>
        </w:tc>
      </w:tr>
      <w:tr w14:paraId="3C11C95C">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exact"/>
        </w:trPr>
        <w:tc>
          <w:tcPr>
            <w:tcW w:w="252" w:type="pct"/>
            <w:tcBorders>
              <w:right w:val="nil"/>
            </w:tcBorders>
            <w:noWrap w:val="0"/>
            <w:vAlign w:val="center"/>
          </w:tcPr>
          <w:p w14:paraId="3596334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2</w:t>
            </w:r>
          </w:p>
        </w:tc>
        <w:tc>
          <w:tcPr>
            <w:tcW w:w="272" w:type="pct"/>
            <w:tcBorders>
              <w:right w:val="nil"/>
            </w:tcBorders>
            <w:noWrap w:val="0"/>
            <w:vAlign w:val="center"/>
          </w:tcPr>
          <w:p w14:paraId="2B9C3FC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4.40 </w:t>
            </w:r>
          </w:p>
        </w:tc>
        <w:tc>
          <w:tcPr>
            <w:tcW w:w="272" w:type="pct"/>
            <w:tcBorders>
              <w:right w:val="nil"/>
            </w:tcBorders>
            <w:noWrap w:val="0"/>
            <w:vAlign w:val="center"/>
          </w:tcPr>
          <w:p w14:paraId="62DA525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4.50 </w:t>
            </w:r>
          </w:p>
        </w:tc>
        <w:tc>
          <w:tcPr>
            <w:tcW w:w="272" w:type="pct"/>
            <w:tcBorders>
              <w:right w:val="nil"/>
            </w:tcBorders>
            <w:noWrap w:val="0"/>
            <w:vAlign w:val="center"/>
          </w:tcPr>
          <w:p w14:paraId="192A0B7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4.33 </w:t>
            </w:r>
          </w:p>
        </w:tc>
        <w:tc>
          <w:tcPr>
            <w:tcW w:w="272" w:type="pct"/>
            <w:tcBorders>
              <w:right w:val="nil"/>
            </w:tcBorders>
            <w:noWrap w:val="0"/>
            <w:vAlign w:val="center"/>
          </w:tcPr>
          <w:p w14:paraId="39B2ACB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4.51 </w:t>
            </w:r>
          </w:p>
        </w:tc>
        <w:tc>
          <w:tcPr>
            <w:tcW w:w="272" w:type="pct"/>
            <w:tcBorders>
              <w:right w:val="nil"/>
            </w:tcBorders>
            <w:noWrap w:val="0"/>
            <w:vAlign w:val="center"/>
          </w:tcPr>
          <w:p w14:paraId="1FA7E5C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4.19 </w:t>
            </w:r>
          </w:p>
        </w:tc>
        <w:tc>
          <w:tcPr>
            <w:tcW w:w="272" w:type="pct"/>
            <w:tcBorders>
              <w:right w:val="nil"/>
            </w:tcBorders>
            <w:noWrap w:val="0"/>
            <w:vAlign w:val="center"/>
          </w:tcPr>
          <w:p w14:paraId="4C2A5AB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4.25 </w:t>
            </w:r>
          </w:p>
        </w:tc>
        <w:tc>
          <w:tcPr>
            <w:tcW w:w="272" w:type="pct"/>
            <w:noWrap w:val="0"/>
            <w:vAlign w:val="center"/>
          </w:tcPr>
          <w:p w14:paraId="72FFC2F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4.36 </w:t>
            </w:r>
          </w:p>
        </w:tc>
        <w:tc>
          <w:tcPr>
            <w:tcW w:w="229" w:type="pct"/>
            <w:noWrap w:val="0"/>
            <w:vAlign w:val="center"/>
          </w:tcPr>
          <w:p w14:paraId="15BAA47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0.32 </w:t>
            </w:r>
          </w:p>
        </w:tc>
        <w:tc>
          <w:tcPr>
            <w:tcW w:w="233" w:type="pct"/>
            <w:noWrap w:val="0"/>
            <w:vAlign w:val="center"/>
          </w:tcPr>
          <w:p w14:paraId="7CDBD72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0.13 </w:t>
            </w:r>
          </w:p>
        </w:tc>
        <w:tc>
          <w:tcPr>
            <w:tcW w:w="272" w:type="pct"/>
            <w:noWrap w:val="0"/>
            <w:vAlign w:val="center"/>
          </w:tcPr>
          <w:p w14:paraId="0B6C7A5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4.61 </w:t>
            </w:r>
          </w:p>
        </w:tc>
        <w:tc>
          <w:tcPr>
            <w:tcW w:w="272" w:type="pct"/>
            <w:noWrap w:val="0"/>
            <w:vAlign w:val="center"/>
          </w:tcPr>
          <w:p w14:paraId="10EAE54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4.39 </w:t>
            </w:r>
          </w:p>
        </w:tc>
        <w:tc>
          <w:tcPr>
            <w:tcW w:w="273" w:type="pct"/>
            <w:noWrap w:val="0"/>
            <w:vAlign w:val="center"/>
          </w:tcPr>
          <w:p w14:paraId="51EE9EB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4.54 </w:t>
            </w:r>
          </w:p>
        </w:tc>
        <w:tc>
          <w:tcPr>
            <w:tcW w:w="273" w:type="pct"/>
            <w:noWrap w:val="0"/>
            <w:vAlign w:val="center"/>
          </w:tcPr>
          <w:p w14:paraId="0D2F30A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4.59 </w:t>
            </w:r>
          </w:p>
        </w:tc>
        <w:tc>
          <w:tcPr>
            <w:tcW w:w="273" w:type="pct"/>
            <w:noWrap w:val="0"/>
            <w:vAlign w:val="center"/>
          </w:tcPr>
          <w:p w14:paraId="223A8C2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4.29 </w:t>
            </w:r>
          </w:p>
        </w:tc>
        <w:tc>
          <w:tcPr>
            <w:tcW w:w="273" w:type="pct"/>
            <w:noWrap w:val="0"/>
            <w:vAlign w:val="center"/>
          </w:tcPr>
          <w:p w14:paraId="25B46C9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4.33 </w:t>
            </w:r>
          </w:p>
        </w:tc>
        <w:tc>
          <w:tcPr>
            <w:tcW w:w="273" w:type="pct"/>
            <w:noWrap w:val="0"/>
            <w:vAlign w:val="center"/>
          </w:tcPr>
          <w:p w14:paraId="75424A4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4.46 </w:t>
            </w:r>
          </w:p>
        </w:tc>
        <w:tc>
          <w:tcPr>
            <w:tcW w:w="230" w:type="pct"/>
            <w:noWrap w:val="0"/>
            <w:vAlign w:val="center"/>
          </w:tcPr>
          <w:p w14:paraId="0DDAF7C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0.32 </w:t>
            </w:r>
          </w:p>
        </w:tc>
        <w:tc>
          <w:tcPr>
            <w:tcW w:w="234" w:type="pct"/>
            <w:noWrap w:val="0"/>
            <w:vAlign w:val="center"/>
          </w:tcPr>
          <w:p w14:paraId="06E66E4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0.14 </w:t>
            </w:r>
          </w:p>
        </w:tc>
      </w:tr>
      <w:tr w14:paraId="2910888E">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exact"/>
        </w:trPr>
        <w:tc>
          <w:tcPr>
            <w:tcW w:w="252" w:type="pct"/>
            <w:tcBorders>
              <w:right w:val="nil"/>
            </w:tcBorders>
            <w:noWrap w:val="0"/>
            <w:vAlign w:val="center"/>
          </w:tcPr>
          <w:p w14:paraId="350A040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3</w:t>
            </w:r>
          </w:p>
        </w:tc>
        <w:tc>
          <w:tcPr>
            <w:tcW w:w="272" w:type="pct"/>
            <w:tcBorders>
              <w:right w:val="nil"/>
            </w:tcBorders>
            <w:noWrap w:val="0"/>
            <w:vAlign w:val="center"/>
          </w:tcPr>
          <w:p w14:paraId="00D7A1B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4.63 </w:t>
            </w:r>
          </w:p>
        </w:tc>
        <w:tc>
          <w:tcPr>
            <w:tcW w:w="272" w:type="pct"/>
            <w:tcBorders>
              <w:right w:val="nil"/>
            </w:tcBorders>
            <w:noWrap w:val="0"/>
            <w:vAlign w:val="center"/>
          </w:tcPr>
          <w:p w14:paraId="554581D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4.69 </w:t>
            </w:r>
          </w:p>
        </w:tc>
        <w:tc>
          <w:tcPr>
            <w:tcW w:w="272" w:type="pct"/>
            <w:tcBorders>
              <w:right w:val="nil"/>
            </w:tcBorders>
            <w:noWrap w:val="0"/>
            <w:vAlign w:val="center"/>
          </w:tcPr>
          <w:p w14:paraId="22E21DD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4.11 </w:t>
            </w:r>
          </w:p>
        </w:tc>
        <w:tc>
          <w:tcPr>
            <w:tcW w:w="272" w:type="pct"/>
            <w:tcBorders>
              <w:right w:val="nil"/>
            </w:tcBorders>
            <w:noWrap w:val="0"/>
            <w:vAlign w:val="center"/>
          </w:tcPr>
          <w:p w14:paraId="32A81F0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4.26 </w:t>
            </w:r>
          </w:p>
        </w:tc>
        <w:tc>
          <w:tcPr>
            <w:tcW w:w="272" w:type="pct"/>
            <w:tcBorders>
              <w:right w:val="nil"/>
            </w:tcBorders>
            <w:noWrap w:val="0"/>
            <w:vAlign w:val="center"/>
          </w:tcPr>
          <w:p w14:paraId="2D4BEC4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4.71 </w:t>
            </w:r>
          </w:p>
        </w:tc>
        <w:tc>
          <w:tcPr>
            <w:tcW w:w="272" w:type="pct"/>
            <w:tcBorders>
              <w:right w:val="nil"/>
            </w:tcBorders>
            <w:noWrap w:val="0"/>
            <w:vAlign w:val="center"/>
          </w:tcPr>
          <w:p w14:paraId="1D95E07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4.41 </w:t>
            </w:r>
          </w:p>
        </w:tc>
        <w:tc>
          <w:tcPr>
            <w:tcW w:w="272" w:type="pct"/>
            <w:noWrap w:val="0"/>
            <w:vAlign w:val="center"/>
          </w:tcPr>
          <w:p w14:paraId="6F1440D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4.47 </w:t>
            </w:r>
          </w:p>
        </w:tc>
        <w:tc>
          <w:tcPr>
            <w:tcW w:w="229" w:type="pct"/>
            <w:noWrap w:val="0"/>
            <w:vAlign w:val="center"/>
          </w:tcPr>
          <w:p w14:paraId="141ECD2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0.60 </w:t>
            </w:r>
          </w:p>
        </w:tc>
        <w:tc>
          <w:tcPr>
            <w:tcW w:w="233" w:type="pct"/>
            <w:noWrap w:val="0"/>
            <w:vAlign w:val="center"/>
          </w:tcPr>
          <w:p w14:paraId="2BC56B3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0.25 </w:t>
            </w:r>
          </w:p>
        </w:tc>
        <w:tc>
          <w:tcPr>
            <w:tcW w:w="272" w:type="pct"/>
            <w:noWrap w:val="0"/>
            <w:vAlign w:val="center"/>
          </w:tcPr>
          <w:p w14:paraId="529604D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4.44 </w:t>
            </w:r>
          </w:p>
        </w:tc>
        <w:tc>
          <w:tcPr>
            <w:tcW w:w="272" w:type="pct"/>
            <w:noWrap w:val="0"/>
            <w:vAlign w:val="center"/>
          </w:tcPr>
          <w:p w14:paraId="0F6F71B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4.59 </w:t>
            </w:r>
          </w:p>
        </w:tc>
        <w:tc>
          <w:tcPr>
            <w:tcW w:w="273" w:type="pct"/>
            <w:noWrap w:val="0"/>
            <w:vAlign w:val="center"/>
          </w:tcPr>
          <w:p w14:paraId="055AA7E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4.89 </w:t>
            </w:r>
          </w:p>
        </w:tc>
        <w:tc>
          <w:tcPr>
            <w:tcW w:w="273" w:type="pct"/>
            <w:noWrap w:val="0"/>
            <w:vAlign w:val="center"/>
          </w:tcPr>
          <w:p w14:paraId="1905A28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5.01 </w:t>
            </w:r>
          </w:p>
        </w:tc>
        <w:tc>
          <w:tcPr>
            <w:tcW w:w="273" w:type="pct"/>
            <w:noWrap w:val="0"/>
            <w:vAlign w:val="center"/>
          </w:tcPr>
          <w:p w14:paraId="611BC60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4.66 </w:t>
            </w:r>
          </w:p>
        </w:tc>
        <w:tc>
          <w:tcPr>
            <w:tcW w:w="273" w:type="pct"/>
            <w:noWrap w:val="0"/>
            <w:vAlign w:val="center"/>
          </w:tcPr>
          <w:p w14:paraId="5A359BD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4.87 </w:t>
            </w:r>
          </w:p>
        </w:tc>
        <w:tc>
          <w:tcPr>
            <w:tcW w:w="273" w:type="pct"/>
            <w:noWrap w:val="0"/>
            <w:vAlign w:val="center"/>
          </w:tcPr>
          <w:p w14:paraId="4276197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4.74 </w:t>
            </w:r>
          </w:p>
        </w:tc>
        <w:tc>
          <w:tcPr>
            <w:tcW w:w="230" w:type="pct"/>
            <w:noWrap w:val="0"/>
            <w:vAlign w:val="center"/>
          </w:tcPr>
          <w:p w14:paraId="7018796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0.57 </w:t>
            </w:r>
          </w:p>
        </w:tc>
        <w:tc>
          <w:tcPr>
            <w:tcW w:w="234" w:type="pct"/>
            <w:noWrap w:val="0"/>
            <w:vAlign w:val="center"/>
          </w:tcPr>
          <w:p w14:paraId="6B418A0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0.22 </w:t>
            </w:r>
          </w:p>
        </w:tc>
      </w:tr>
      <w:tr w14:paraId="64CEFFD7">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exact"/>
        </w:trPr>
        <w:tc>
          <w:tcPr>
            <w:tcW w:w="252" w:type="pct"/>
            <w:tcBorders>
              <w:right w:val="nil"/>
            </w:tcBorders>
            <w:noWrap w:val="0"/>
            <w:vAlign w:val="center"/>
          </w:tcPr>
          <w:p w14:paraId="60CAACF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6</w:t>
            </w:r>
          </w:p>
        </w:tc>
        <w:tc>
          <w:tcPr>
            <w:tcW w:w="272" w:type="pct"/>
            <w:tcBorders>
              <w:right w:val="nil"/>
            </w:tcBorders>
            <w:noWrap w:val="0"/>
            <w:vAlign w:val="center"/>
          </w:tcPr>
          <w:p w14:paraId="39DF9AA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15.91 </w:t>
            </w:r>
          </w:p>
        </w:tc>
        <w:tc>
          <w:tcPr>
            <w:tcW w:w="272" w:type="pct"/>
            <w:tcBorders>
              <w:right w:val="nil"/>
            </w:tcBorders>
            <w:noWrap w:val="0"/>
            <w:vAlign w:val="center"/>
          </w:tcPr>
          <w:p w14:paraId="5236288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15.61 </w:t>
            </w:r>
          </w:p>
        </w:tc>
        <w:tc>
          <w:tcPr>
            <w:tcW w:w="272" w:type="pct"/>
            <w:tcBorders>
              <w:right w:val="nil"/>
            </w:tcBorders>
            <w:noWrap w:val="0"/>
            <w:vAlign w:val="center"/>
          </w:tcPr>
          <w:p w14:paraId="493970A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15.63 </w:t>
            </w:r>
          </w:p>
        </w:tc>
        <w:tc>
          <w:tcPr>
            <w:tcW w:w="272" w:type="pct"/>
            <w:tcBorders>
              <w:right w:val="nil"/>
            </w:tcBorders>
            <w:noWrap w:val="0"/>
            <w:vAlign w:val="center"/>
          </w:tcPr>
          <w:p w14:paraId="440E281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15.81 </w:t>
            </w:r>
          </w:p>
        </w:tc>
        <w:tc>
          <w:tcPr>
            <w:tcW w:w="272" w:type="pct"/>
            <w:tcBorders>
              <w:right w:val="nil"/>
            </w:tcBorders>
            <w:noWrap w:val="0"/>
            <w:vAlign w:val="center"/>
          </w:tcPr>
          <w:p w14:paraId="599680C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15.72 </w:t>
            </w:r>
          </w:p>
        </w:tc>
        <w:tc>
          <w:tcPr>
            <w:tcW w:w="272" w:type="pct"/>
            <w:tcBorders>
              <w:right w:val="nil"/>
            </w:tcBorders>
            <w:noWrap w:val="0"/>
            <w:vAlign w:val="center"/>
          </w:tcPr>
          <w:p w14:paraId="2A25B02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15.60 </w:t>
            </w:r>
          </w:p>
        </w:tc>
        <w:tc>
          <w:tcPr>
            <w:tcW w:w="272" w:type="pct"/>
            <w:noWrap w:val="0"/>
            <w:vAlign w:val="center"/>
          </w:tcPr>
          <w:p w14:paraId="58E3326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15.71 </w:t>
            </w:r>
          </w:p>
        </w:tc>
        <w:tc>
          <w:tcPr>
            <w:tcW w:w="229" w:type="pct"/>
            <w:noWrap w:val="0"/>
            <w:vAlign w:val="center"/>
          </w:tcPr>
          <w:p w14:paraId="29BC362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0.31 </w:t>
            </w:r>
          </w:p>
        </w:tc>
        <w:tc>
          <w:tcPr>
            <w:tcW w:w="233" w:type="pct"/>
            <w:noWrap w:val="0"/>
            <w:vAlign w:val="center"/>
          </w:tcPr>
          <w:p w14:paraId="5A5F94E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0.13 </w:t>
            </w:r>
          </w:p>
        </w:tc>
        <w:tc>
          <w:tcPr>
            <w:tcW w:w="272" w:type="pct"/>
            <w:noWrap w:val="0"/>
            <w:vAlign w:val="center"/>
          </w:tcPr>
          <w:p w14:paraId="3D76E82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16.06 </w:t>
            </w:r>
          </w:p>
        </w:tc>
        <w:tc>
          <w:tcPr>
            <w:tcW w:w="272" w:type="pct"/>
            <w:noWrap w:val="0"/>
            <w:vAlign w:val="center"/>
          </w:tcPr>
          <w:p w14:paraId="43DFE91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16.74 </w:t>
            </w:r>
          </w:p>
        </w:tc>
        <w:tc>
          <w:tcPr>
            <w:tcW w:w="273" w:type="pct"/>
            <w:noWrap w:val="0"/>
            <w:vAlign w:val="center"/>
          </w:tcPr>
          <w:p w14:paraId="1DDB229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16.96 </w:t>
            </w:r>
          </w:p>
        </w:tc>
        <w:tc>
          <w:tcPr>
            <w:tcW w:w="273" w:type="pct"/>
            <w:noWrap w:val="0"/>
            <w:vAlign w:val="center"/>
          </w:tcPr>
          <w:p w14:paraId="312FBC5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16.36 </w:t>
            </w:r>
          </w:p>
        </w:tc>
        <w:tc>
          <w:tcPr>
            <w:tcW w:w="273" w:type="pct"/>
            <w:noWrap w:val="0"/>
            <w:vAlign w:val="center"/>
          </w:tcPr>
          <w:p w14:paraId="7C419E0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16.13 </w:t>
            </w:r>
          </w:p>
        </w:tc>
        <w:tc>
          <w:tcPr>
            <w:tcW w:w="273" w:type="pct"/>
            <w:noWrap w:val="0"/>
            <w:vAlign w:val="center"/>
          </w:tcPr>
          <w:p w14:paraId="3187EF0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16.93 </w:t>
            </w:r>
          </w:p>
        </w:tc>
        <w:tc>
          <w:tcPr>
            <w:tcW w:w="273" w:type="pct"/>
            <w:noWrap w:val="0"/>
            <w:vAlign w:val="center"/>
          </w:tcPr>
          <w:p w14:paraId="729A8BC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16.53 </w:t>
            </w:r>
          </w:p>
        </w:tc>
        <w:tc>
          <w:tcPr>
            <w:tcW w:w="230" w:type="pct"/>
            <w:noWrap w:val="0"/>
            <w:vAlign w:val="center"/>
          </w:tcPr>
          <w:p w14:paraId="5D62A84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0.90 </w:t>
            </w:r>
          </w:p>
        </w:tc>
        <w:tc>
          <w:tcPr>
            <w:tcW w:w="234" w:type="pct"/>
            <w:noWrap w:val="0"/>
            <w:vAlign w:val="center"/>
          </w:tcPr>
          <w:p w14:paraId="1E05E9E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0.40 </w:t>
            </w:r>
          </w:p>
        </w:tc>
      </w:tr>
      <w:tr w14:paraId="12771749">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exact"/>
        </w:trPr>
        <w:tc>
          <w:tcPr>
            <w:tcW w:w="252" w:type="pct"/>
            <w:tcBorders>
              <w:right w:val="nil"/>
            </w:tcBorders>
            <w:noWrap w:val="0"/>
            <w:vAlign w:val="center"/>
          </w:tcPr>
          <w:p w14:paraId="2282C29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7</w:t>
            </w:r>
          </w:p>
        </w:tc>
        <w:tc>
          <w:tcPr>
            <w:tcW w:w="272" w:type="pct"/>
            <w:tcBorders>
              <w:right w:val="nil"/>
            </w:tcBorders>
            <w:noWrap w:val="0"/>
            <w:vAlign w:val="center"/>
          </w:tcPr>
          <w:p w14:paraId="764B657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16.44 </w:t>
            </w:r>
          </w:p>
        </w:tc>
        <w:tc>
          <w:tcPr>
            <w:tcW w:w="272" w:type="pct"/>
            <w:tcBorders>
              <w:right w:val="nil"/>
            </w:tcBorders>
            <w:noWrap w:val="0"/>
            <w:vAlign w:val="center"/>
          </w:tcPr>
          <w:p w14:paraId="0B24DFA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16.04 </w:t>
            </w:r>
          </w:p>
        </w:tc>
        <w:tc>
          <w:tcPr>
            <w:tcW w:w="272" w:type="pct"/>
            <w:tcBorders>
              <w:right w:val="nil"/>
            </w:tcBorders>
            <w:noWrap w:val="0"/>
            <w:vAlign w:val="center"/>
          </w:tcPr>
          <w:p w14:paraId="04C25B3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16.69 </w:t>
            </w:r>
          </w:p>
        </w:tc>
        <w:tc>
          <w:tcPr>
            <w:tcW w:w="272" w:type="pct"/>
            <w:tcBorders>
              <w:right w:val="nil"/>
            </w:tcBorders>
            <w:noWrap w:val="0"/>
            <w:vAlign w:val="center"/>
          </w:tcPr>
          <w:p w14:paraId="2EB320F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17.12 </w:t>
            </w:r>
          </w:p>
        </w:tc>
        <w:tc>
          <w:tcPr>
            <w:tcW w:w="272" w:type="pct"/>
            <w:tcBorders>
              <w:right w:val="nil"/>
            </w:tcBorders>
            <w:noWrap w:val="0"/>
            <w:vAlign w:val="center"/>
          </w:tcPr>
          <w:p w14:paraId="6D5CF52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16.88 </w:t>
            </w:r>
          </w:p>
        </w:tc>
        <w:tc>
          <w:tcPr>
            <w:tcW w:w="272" w:type="pct"/>
            <w:tcBorders>
              <w:right w:val="nil"/>
            </w:tcBorders>
            <w:noWrap w:val="0"/>
            <w:vAlign w:val="center"/>
          </w:tcPr>
          <w:p w14:paraId="79C871B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16.39 </w:t>
            </w:r>
          </w:p>
        </w:tc>
        <w:tc>
          <w:tcPr>
            <w:tcW w:w="272" w:type="pct"/>
            <w:noWrap w:val="0"/>
            <w:vAlign w:val="center"/>
          </w:tcPr>
          <w:p w14:paraId="35E9895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16.59 </w:t>
            </w:r>
          </w:p>
        </w:tc>
        <w:tc>
          <w:tcPr>
            <w:tcW w:w="229" w:type="pct"/>
            <w:noWrap w:val="0"/>
            <w:vAlign w:val="center"/>
          </w:tcPr>
          <w:p w14:paraId="4E9BAEE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0.98 </w:t>
            </w:r>
          </w:p>
        </w:tc>
        <w:tc>
          <w:tcPr>
            <w:tcW w:w="233" w:type="pct"/>
            <w:noWrap w:val="0"/>
            <w:vAlign w:val="center"/>
          </w:tcPr>
          <w:p w14:paraId="1BFA15D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0.38 </w:t>
            </w:r>
          </w:p>
        </w:tc>
        <w:tc>
          <w:tcPr>
            <w:tcW w:w="272" w:type="pct"/>
            <w:noWrap w:val="0"/>
            <w:vAlign w:val="center"/>
          </w:tcPr>
          <w:p w14:paraId="356DC9F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15.15 </w:t>
            </w:r>
          </w:p>
        </w:tc>
        <w:tc>
          <w:tcPr>
            <w:tcW w:w="272" w:type="pct"/>
            <w:noWrap w:val="0"/>
            <w:vAlign w:val="center"/>
          </w:tcPr>
          <w:p w14:paraId="5EF3153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15.34 </w:t>
            </w:r>
          </w:p>
        </w:tc>
        <w:tc>
          <w:tcPr>
            <w:tcW w:w="273" w:type="pct"/>
            <w:noWrap w:val="0"/>
            <w:vAlign w:val="center"/>
          </w:tcPr>
          <w:p w14:paraId="7D289C9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15.26 </w:t>
            </w:r>
          </w:p>
        </w:tc>
        <w:tc>
          <w:tcPr>
            <w:tcW w:w="273" w:type="pct"/>
            <w:noWrap w:val="0"/>
            <w:vAlign w:val="center"/>
          </w:tcPr>
          <w:p w14:paraId="6F246DA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15.43 </w:t>
            </w:r>
          </w:p>
        </w:tc>
        <w:tc>
          <w:tcPr>
            <w:tcW w:w="273" w:type="pct"/>
            <w:noWrap w:val="0"/>
            <w:vAlign w:val="center"/>
          </w:tcPr>
          <w:p w14:paraId="6455A85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15.69 </w:t>
            </w:r>
          </w:p>
        </w:tc>
        <w:tc>
          <w:tcPr>
            <w:tcW w:w="273" w:type="pct"/>
            <w:noWrap w:val="0"/>
            <w:vAlign w:val="center"/>
          </w:tcPr>
          <w:p w14:paraId="7A15868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15.79 </w:t>
            </w:r>
          </w:p>
        </w:tc>
        <w:tc>
          <w:tcPr>
            <w:tcW w:w="273" w:type="pct"/>
            <w:noWrap w:val="0"/>
            <w:vAlign w:val="center"/>
          </w:tcPr>
          <w:p w14:paraId="27E8ED9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15.44 </w:t>
            </w:r>
          </w:p>
        </w:tc>
        <w:tc>
          <w:tcPr>
            <w:tcW w:w="230" w:type="pct"/>
            <w:noWrap w:val="0"/>
            <w:vAlign w:val="center"/>
          </w:tcPr>
          <w:p w14:paraId="0F25E9E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0.64 </w:t>
            </w:r>
          </w:p>
        </w:tc>
        <w:tc>
          <w:tcPr>
            <w:tcW w:w="234" w:type="pct"/>
            <w:noWrap w:val="0"/>
            <w:vAlign w:val="center"/>
          </w:tcPr>
          <w:p w14:paraId="2BF9763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0.25 </w:t>
            </w:r>
          </w:p>
        </w:tc>
      </w:tr>
      <w:tr w14:paraId="2B8315C5">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exact"/>
        </w:trPr>
        <w:tc>
          <w:tcPr>
            <w:tcW w:w="252" w:type="pct"/>
            <w:tcBorders>
              <w:right w:val="nil"/>
            </w:tcBorders>
            <w:noWrap w:val="0"/>
            <w:vAlign w:val="center"/>
          </w:tcPr>
          <w:p w14:paraId="3DF2482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9</w:t>
            </w:r>
          </w:p>
        </w:tc>
        <w:tc>
          <w:tcPr>
            <w:tcW w:w="272" w:type="pct"/>
            <w:tcBorders>
              <w:right w:val="nil"/>
            </w:tcBorders>
            <w:noWrap w:val="0"/>
            <w:vAlign w:val="center"/>
          </w:tcPr>
          <w:p w14:paraId="6D2023C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15.63 </w:t>
            </w:r>
          </w:p>
        </w:tc>
        <w:tc>
          <w:tcPr>
            <w:tcW w:w="272" w:type="pct"/>
            <w:tcBorders>
              <w:right w:val="nil"/>
            </w:tcBorders>
            <w:noWrap w:val="0"/>
            <w:vAlign w:val="center"/>
          </w:tcPr>
          <w:p w14:paraId="29B756F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15.81 </w:t>
            </w:r>
          </w:p>
        </w:tc>
        <w:tc>
          <w:tcPr>
            <w:tcW w:w="272" w:type="pct"/>
            <w:tcBorders>
              <w:right w:val="nil"/>
            </w:tcBorders>
            <w:noWrap w:val="0"/>
            <w:vAlign w:val="center"/>
          </w:tcPr>
          <w:p w14:paraId="7A1E7D7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16.01 </w:t>
            </w:r>
          </w:p>
        </w:tc>
        <w:tc>
          <w:tcPr>
            <w:tcW w:w="272" w:type="pct"/>
            <w:tcBorders>
              <w:right w:val="nil"/>
            </w:tcBorders>
            <w:noWrap w:val="0"/>
            <w:vAlign w:val="center"/>
          </w:tcPr>
          <w:p w14:paraId="4D53C98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15.41 </w:t>
            </w:r>
          </w:p>
        </w:tc>
        <w:tc>
          <w:tcPr>
            <w:tcW w:w="272" w:type="pct"/>
            <w:tcBorders>
              <w:right w:val="nil"/>
            </w:tcBorders>
            <w:noWrap w:val="0"/>
            <w:vAlign w:val="center"/>
          </w:tcPr>
          <w:p w14:paraId="453D48E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15.84 </w:t>
            </w:r>
          </w:p>
        </w:tc>
        <w:tc>
          <w:tcPr>
            <w:tcW w:w="272" w:type="pct"/>
            <w:tcBorders>
              <w:right w:val="nil"/>
            </w:tcBorders>
            <w:noWrap w:val="0"/>
            <w:vAlign w:val="center"/>
          </w:tcPr>
          <w:p w14:paraId="40DF022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14.99 </w:t>
            </w:r>
          </w:p>
        </w:tc>
        <w:tc>
          <w:tcPr>
            <w:tcW w:w="272" w:type="pct"/>
            <w:noWrap w:val="0"/>
            <w:vAlign w:val="center"/>
          </w:tcPr>
          <w:p w14:paraId="4EAFB44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15.62 </w:t>
            </w:r>
          </w:p>
        </w:tc>
        <w:tc>
          <w:tcPr>
            <w:tcW w:w="229" w:type="pct"/>
            <w:noWrap w:val="0"/>
            <w:vAlign w:val="center"/>
          </w:tcPr>
          <w:p w14:paraId="245FA8F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1.02 </w:t>
            </w:r>
          </w:p>
        </w:tc>
        <w:tc>
          <w:tcPr>
            <w:tcW w:w="233" w:type="pct"/>
            <w:noWrap w:val="0"/>
            <w:vAlign w:val="center"/>
          </w:tcPr>
          <w:p w14:paraId="6976DEB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0.37 </w:t>
            </w:r>
          </w:p>
        </w:tc>
        <w:tc>
          <w:tcPr>
            <w:tcW w:w="272" w:type="pct"/>
            <w:noWrap w:val="0"/>
            <w:vAlign w:val="center"/>
          </w:tcPr>
          <w:p w14:paraId="4D37700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14.68 </w:t>
            </w:r>
          </w:p>
        </w:tc>
        <w:tc>
          <w:tcPr>
            <w:tcW w:w="272" w:type="pct"/>
            <w:noWrap w:val="0"/>
            <w:vAlign w:val="center"/>
          </w:tcPr>
          <w:p w14:paraId="397A834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14.32 </w:t>
            </w:r>
          </w:p>
        </w:tc>
        <w:tc>
          <w:tcPr>
            <w:tcW w:w="273" w:type="pct"/>
            <w:noWrap w:val="0"/>
            <w:vAlign w:val="center"/>
          </w:tcPr>
          <w:p w14:paraId="356FAF8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15.16 </w:t>
            </w:r>
          </w:p>
        </w:tc>
        <w:tc>
          <w:tcPr>
            <w:tcW w:w="273" w:type="pct"/>
            <w:noWrap w:val="0"/>
            <w:vAlign w:val="center"/>
          </w:tcPr>
          <w:p w14:paraId="2F346D0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14.83 </w:t>
            </w:r>
          </w:p>
        </w:tc>
        <w:tc>
          <w:tcPr>
            <w:tcW w:w="273" w:type="pct"/>
            <w:noWrap w:val="0"/>
            <w:vAlign w:val="center"/>
          </w:tcPr>
          <w:p w14:paraId="125839C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14.90 </w:t>
            </w:r>
          </w:p>
        </w:tc>
        <w:tc>
          <w:tcPr>
            <w:tcW w:w="273" w:type="pct"/>
            <w:noWrap w:val="0"/>
            <w:vAlign w:val="center"/>
          </w:tcPr>
          <w:p w14:paraId="64E2B04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14.79 </w:t>
            </w:r>
          </w:p>
        </w:tc>
        <w:tc>
          <w:tcPr>
            <w:tcW w:w="273" w:type="pct"/>
            <w:noWrap w:val="0"/>
            <w:vAlign w:val="center"/>
          </w:tcPr>
          <w:p w14:paraId="3523516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14.78 </w:t>
            </w:r>
          </w:p>
        </w:tc>
        <w:tc>
          <w:tcPr>
            <w:tcW w:w="230" w:type="pct"/>
            <w:noWrap w:val="0"/>
            <w:vAlign w:val="center"/>
          </w:tcPr>
          <w:p w14:paraId="44FF1C3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0.84 </w:t>
            </w:r>
          </w:p>
        </w:tc>
        <w:tc>
          <w:tcPr>
            <w:tcW w:w="234" w:type="pct"/>
            <w:noWrap w:val="0"/>
            <w:vAlign w:val="center"/>
          </w:tcPr>
          <w:p w14:paraId="71D2A5F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0.28 </w:t>
            </w:r>
          </w:p>
        </w:tc>
      </w:tr>
      <w:tr w14:paraId="2BE4D2E9">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exact"/>
        </w:trPr>
        <w:tc>
          <w:tcPr>
            <w:tcW w:w="252" w:type="pct"/>
            <w:tcBorders>
              <w:right w:val="nil"/>
            </w:tcBorders>
            <w:noWrap w:val="0"/>
            <w:vAlign w:val="center"/>
          </w:tcPr>
          <w:p w14:paraId="03C5615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15</w:t>
            </w:r>
          </w:p>
        </w:tc>
        <w:tc>
          <w:tcPr>
            <w:tcW w:w="272" w:type="pct"/>
            <w:tcBorders>
              <w:right w:val="nil"/>
            </w:tcBorders>
            <w:noWrap w:val="0"/>
            <w:vAlign w:val="center"/>
          </w:tcPr>
          <w:p w14:paraId="3824863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15.96 </w:t>
            </w:r>
          </w:p>
        </w:tc>
        <w:tc>
          <w:tcPr>
            <w:tcW w:w="272" w:type="pct"/>
            <w:tcBorders>
              <w:right w:val="nil"/>
            </w:tcBorders>
            <w:noWrap w:val="0"/>
            <w:vAlign w:val="center"/>
          </w:tcPr>
          <w:p w14:paraId="03C1902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15.32 </w:t>
            </w:r>
          </w:p>
        </w:tc>
        <w:tc>
          <w:tcPr>
            <w:tcW w:w="272" w:type="pct"/>
            <w:tcBorders>
              <w:right w:val="nil"/>
            </w:tcBorders>
            <w:noWrap w:val="0"/>
            <w:vAlign w:val="center"/>
          </w:tcPr>
          <w:p w14:paraId="00CF925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15.99 </w:t>
            </w:r>
          </w:p>
        </w:tc>
        <w:tc>
          <w:tcPr>
            <w:tcW w:w="272" w:type="pct"/>
            <w:tcBorders>
              <w:right w:val="nil"/>
            </w:tcBorders>
            <w:noWrap w:val="0"/>
            <w:vAlign w:val="center"/>
          </w:tcPr>
          <w:p w14:paraId="4C726E1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16.10 </w:t>
            </w:r>
          </w:p>
        </w:tc>
        <w:tc>
          <w:tcPr>
            <w:tcW w:w="272" w:type="pct"/>
            <w:tcBorders>
              <w:right w:val="nil"/>
            </w:tcBorders>
            <w:noWrap w:val="0"/>
            <w:vAlign w:val="center"/>
          </w:tcPr>
          <w:p w14:paraId="52A07A7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16.02 </w:t>
            </w:r>
          </w:p>
        </w:tc>
        <w:tc>
          <w:tcPr>
            <w:tcW w:w="272" w:type="pct"/>
            <w:tcBorders>
              <w:right w:val="nil"/>
            </w:tcBorders>
            <w:noWrap w:val="0"/>
            <w:vAlign w:val="center"/>
          </w:tcPr>
          <w:p w14:paraId="53585CD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15.30 </w:t>
            </w:r>
          </w:p>
        </w:tc>
        <w:tc>
          <w:tcPr>
            <w:tcW w:w="272" w:type="pct"/>
            <w:noWrap w:val="0"/>
            <w:vAlign w:val="center"/>
          </w:tcPr>
          <w:p w14:paraId="2073EE1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15.78 </w:t>
            </w:r>
          </w:p>
        </w:tc>
        <w:tc>
          <w:tcPr>
            <w:tcW w:w="229" w:type="pct"/>
            <w:noWrap w:val="0"/>
            <w:vAlign w:val="center"/>
          </w:tcPr>
          <w:p w14:paraId="5B94709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0.80 </w:t>
            </w:r>
          </w:p>
        </w:tc>
        <w:tc>
          <w:tcPr>
            <w:tcW w:w="233" w:type="pct"/>
            <w:noWrap w:val="0"/>
            <w:vAlign w:val="center"/>
          </w:tcPr>
          <w:p w14:paraId="039AFFE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0.37 </w:t>
            </w:r>
          </w:p>
        </w:tc>
        <w:tc>
          <w:tcPr>
            <w:tcW w:w="272" w:type="pct"/>
            <w:noWrap w:val="0"/>
            <w:vAlign w:val="center"/>
          </w:tcPr>
          <w:p w14:paraId="4177734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17.04 </w:t>
            </w:r>
          </w:p>
        </w:tc>
        <w:tc>
          <w:tcPr>
            <w:tcW w:w="272" w:type="pct"/>
            <w:noWrap w:val="0"/>
            <w:vAlign w:val="center"/>
          </w:tcPr>
          <w:p w14:paraId="6ECDD3C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16.44 </w:t>
            </w:r>
          </w:p>
        </w:tc>
        <w:tc>
          <w:tcPr>
            <w:tcW w:w="273" w:type="pct"/>
            <w:noWrap w:val="0"/>
            <w:vAlign w:val="center"/>
          </w:tcPr>
          <w:p w14:paraId="03A80C6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17.20 </w:t>
            </w:r>
          </w:p>
        </w:tc>
        <w:tc>
          <w:tcPr>
            <w:tcW w:w="273" w:type="pct"/>
            <w:noWrap w:val="0"/>
            <w:vAlign w:val="center"/>
          </w:tcPr>
          <w:p w14:paraId="73336DC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16.61 </w:t>
            </w:r>
          </w:p>
        </w:tc>
        <w:tc>
          <w:tcPr>
            <w:tcW w:w="273" w:type="pct"/>
            <w:noWrap w:val="0"/>
            <w:vAlign w:val="center"/>
          </w:tcPr>
          <w:p w14:paraId="5A4B597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16.64 </w:t>
            </w:r>
          </w:p>
        </w:tc>
        <w:tc>
          <w:tcPr>
            <w:tcW w:w="273" w:type="pct"/>
            <w:noWrap w:val="0"/>
            <w:vAlign w:val="center"/>
          </w:tcPr>
          <w:p w14:paraId="217FC76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16.52 </w:t>
            </w:r>
          </w:p>
        </w:tc>
        <w:tc>
          <w:tcPr>
            <w:tcW w:w="273" w:type="pct"/>
            <w:noWrap w:val="0"/>
            <w:vAlign w:val="center"/>
          </w:tcPr>
          <w:p w14:paraId="489B2BA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16.74 </w:t>
            </w:r>
          </w:p>
        </w:tc>
        <w:tc>
          <w:tcPr>
            <w:tcW w:w="230" w:type="pct"/>
            <w:noWrap w:val="0"/>
            <w:vAlign w:val="center"/>
          </w:tcPr>
          <w:p w14:paraId="602223A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0.76 </w:t>
            </w:r>
          </w:p>
        </w:tc>
        <w:tc>
          <w:tcPr>
            <w:tcW w:w="234" w:type="pct"/>
            <w:noWrap w:val="0"/>
            <w:vAlign w:val="center"/>
          </w:tcPr>
          <w:p w14:paraId="7BD3FC0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0.31 </w:t>
            </w:r>
          </w:p>
        </w:tc>
      </w:tr>
      <w:tr w14:paraId="7BC4EEB9">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exact"/>
        </w:trPr>
        <w:tc>
          <w:tcPr>
            <w:tcW w:w="252" w:type="pct"/>
            <w:tcBorders>
              <w:right w:val="nil"/>
            </w:tcBorders>
            <w:noWrap w:val="0"/>
            <w:vAlign w:val="center"/>
          </w:tcPr>
          <w:p w14:paraId="046921A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18</w:t>
            </w:r>
          </w:p>
        </w:tc>
        <w:tc>
          <w:tcPr>
            <w:tcW w:w="272" w:type="pct"/>
            <w:tcBorders>
              <w:right w:val="nil"/>
            </w:tcBorders>
            <w:noWrap w:val="0"/>
            <w:vAlign w:val="center"/>
          </w:tcPr>
          <w:p w14:paraId="31D96BD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17.02 </w:t>
            </w:r>
          </w:p>
        </w:tc>
        <w:tc>
          <w:tcPr>
            <w:tcW w:w="272" w:type="pct"/>
            <w:tcBorders>
              <w:right w:val="nil"/>
            </w:tcBorders>
            <w:noWrap w:val="0"/>
            <w:vAlign w:val="center"/>
          </w:tcPr>
          <w:p w14:paraId="5322672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16.30 </w:t>
            </w:r>
          </w:p>
        </w:tc>
        <w:tc>
          <w:tcPr>
            <w:tcW w:w="272" w:type="pct"/>
            <w:tcBorders>
              <w:right w:val="nil"/>
            </w:tcBorders>
            <w:noWrap w:val="0"/>
            <w:vAlign w:val="center"/>
          </w:tcPr>
          <w:p w14:paraId="5B921A0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16.99 </w:t>
            </w:r>
          </w:p>
        </w:tc>
        <w:tc>
          <w:tcPr>
            <w:tcW w:w="272" w:type="pct"/>
            <w:tcBorders>
              <w:right w:val="nil"/>
            </w:tcBorders>
            <w:noWrap w:val="0"/>
            <w:vAlign w:val="center"/>
          </w:tcPr>
          <w:p w14:paraId="0B3C709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17.12 </w:t>
            </w:r>
          </w:p>
        </w:tc>
        <w:tc>
          <w:tcPr>
            <w:tcW w:w="272" w:type="pct"/>
            <w:tcBorders>
              <w:right w:val="nil"/>
            </w:tcBorders>
            <w:noWrap w:val="0"/>
            <w:vAlign w:val="center"/>
          </w:tcPr>
          <w:p w14:paraId="733C43E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17.08 </w:t>
            </w:r>
          </w:p>
        </w:tc>
        <w:tc>
          <w:tcPr>
            <w:tcW w:w="272" w:type="pct"/>
            <w:tcBorders>
              <w:right w:val="nil"/>
            </w:tcBorders>
            <w:noWrap w:val="0"/>
            <w:vAlign w:val="center"/>
          </w:tcPr>
          <w:p w14:paraId="62AFCC1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17.30 </w:t>
            </w:r>
          </w:p>
        </w:tc>
        <w:tc>
          <w:tcPr>
            <w:tcW w:w="272" w:type="pct"/>
            <w:noWrap w:val="0"/>
            <w:vAlign w:val="center"/>
          </w:tcPr>
          <w:p w14:paraId="1FD9867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16.97 </w:t>
            </w:r>
          </w:p>
        </w:tc>
        <w:tc>
          <w:tcPr>
            <w:tcW w:w="229" w:type="pct"/>
            <w:noWrap w:val="0"/>
            <w:vAlign w:val="center"/>
          </w:tcPr>
          <w:p w14:paraId="119D9A4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1.00 </w:t>
            </w:r>
          </w:p>
        </w:tc>
        <w:tc>
          <w:tcPr>
            <w:tcW w:w="233" w:type="pct"/>
            <w:noWrap w:val="0"/>
            <w:vAlign w:val="center"/>
          </w:tcPr>
          <w:p w14:paraId="6EE40BA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0.35 </w:t>
            </w:r>
          </w:p>
        </w:tc>
        <w:tc>
          <w:tcPr>
            <w:tcW w:w="272" w:type="pct"/>
            <w:noWrap w:val="0"/>
            <w:vAlign w:val="center"/>
          </w:tcPr>
          <w:p w14:paraId="663DD57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16.13 </w:t>
            </w:r>
          </w:p>
        </w:tc>
        <w:tc>
          <w:tcPr>
            <w:tcW w:w="272" w:type="pct"/>
            <w:noWrap w:val="0"/>
            <w:vAlign w:val="center"/>
          </w:tcPr>
          <w:p w14:paraId="05DE35F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16.93 </w:t>
            </w:r>
          </w:p>
        </w:tc>
        <w:tc>
          <w:tcPr>
            <w:tcW w:w="273" w:type="pct"/>
            <w:noWrap w:val="0"/>
            <w:vAlign w:val="center"/>
          </w:tcPr>
          <w:p w14:paraId="65E5C6E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17.01 </w:t>
            </w:r>
          </w:p>
        </w:tc>
        <w:tc>
          <w:tcPr>
            <w:tcW w:w="273" w:type="pct"/>
            <w:noWrap w:val="0"/>
            <w:vAlign w:val="center"/>
          </w:tcPr>
          <w:p w14:paraId="6C0160F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16.21 </w:t>
            </w:r>
          </w:p>
        </w:tc>
        <w:tc>
          <w:tcPr>
            <w:tcW w:w="273" w:type="pct"/>
            <w:noWrap w:val="0"/>
            <w:vAlign w:val="center"/>
          </w:tcPr>
          <w:p w14:paraId="1C18139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16.64 </w:t>
            </w:r>
          </w:p>
        </w:tc>
        <w:tc>
          <w:tcPr>
            <w:tcW w:w="273" w:type="pct"/>
            <w:noWrap w:val="0"/>
            <w:vAlign w:val="center"/>
          </w:tcPr>
          <w:p w14:paraId="744E0FF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16.52 </w:t>
            </w:r>
          </w:p>
        </w:tc>
        <w:tc>
          <w:tcPr>
            <w:tcW w:w="273" w:type="pct"/>
            <w:noWrap w:val="0"/>
            <w:vAlign w:val="center"/>
          </w:tcPr>
          <w:p w14:paraId="4CBC5A5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16.57 </w:t>
            </w:r>
          </w:p>
        </w:tc>
        <w:tc>
          <w:tcPr>
            <w:tcW w:w="230" w:type="pct"/>
            <w:noWrap w:val="0"/>
            <w:vAlign w:val="center"/>
          </w:tcPr>
          <w:p w14:paraId="0815EC5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0.80 </w:t>
            </w:r>
          </w:p>
        </w:tc>
        <w:tc>
          <w:tcPr>
            <w:tcW w:w="234" w:type="pct"/>
            <w:noWrap w:val="0"/>
            <w:vAlign w:val="center"/>
          </w:tcPr>
          <w:p w14:paraId="20ADCEF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0.36 </w:t>
            </w:r>
          </w:p>
        </w:tc>
      </w:tr>
      <w:tr w14:paraId="320F3161">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exact"/>
        </w:trPr>
        <w:tc>
          <w:tcPr>
            <w:tcW w:w="252" w:type="pct"/>
            <w:tcBorders>
              <w:right w:val="nil"/>
            </w:tcBorders>
            <w:noWrap w:val="0"/>
            <w:vAlign w:val="center"/>
          </w:tcPr>
          <w:p w14:paraId="7C8B8A7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23</w:t>
            </w:r>
          </w:p>
        </w:tc>
        <w:tc>
          <w:tcPr>
            <w:tcW w:w="272" w:type="pct"/>
            <w:tcBorders>
              <w:right w:val="nil"/>
            </w:tcBorders>
            <w:noWrap w:val="0"/>
            <w:vAlign w:val="center"/>
          </w:tcPr>
          <w:p w14:paraId="26E6E60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18.68 </w:t>
            </w:r>
          </w:p>
        </w:tc>
        <w:tc>
          <w:tcPr>
            <w:tcW w:w="272" w:type="pct"/>
            <w:tcBorders>
              <w:right w:val="nil"/>
            </w:tcBorders>
            <w:noWrap w:val="0"/>
            <w:vAlign w:val="center"/>
          </w:tcPr>
          <w:p w14:paraId="3B29BC7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18.08 </w:t>
            </w:r>
          </w:p>
        </w:tc>
        <w:tc>
          <w:tcPr>
            <w:tcW w:w="272" w:type="pct"/>
            <w:tcBorders>
              <w:right w:val="nil"/>
            </w:tcBorders>
            <w:noWrap w:val="0"/>
            <w:vAlign w:val="center"/>
          </w:tcPr>
          <w:p w14:paraId="0DE155F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18.16 </w:t>
            </w:r>
          </w:p>
        </w:tc>
        <w:tc>
          <w:tcPr>
            <w:tcW w:w="272" w:type="pct"/>
            <w:tcBorders>
              <w:right w:val="nil"/>
            </w:tcBorders>
            <w:noWrap w:val="0"/>
            <w:vAlign w:val="center"/>
          </w:tcPr>
          <w:p w14:paraId="1D691B5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17.91 </w:t>
            </w:r>
          </w:p>
        </w:tc>
        <w:tc>
          <w:tcPr>
            <w:tcW w:w="272" w:type="pct"/>
            <w:tcBorders>
              <w:right w:val="nil"/>
            </w:tcBorders>
            <w:noWrap w:val="0"/>
            <w:vAlign w:val="center"/>
          </w:tcPr>
          <w:p w14:paraId="3CD9424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17.84 </w:t>
            </w:r>
          </w:p>
        </w:tc>
        <w:tc>
          <w:tcPr>
            <w:tcW w:w="272" w:type="pct"/>
            <w:tcBorders>
              <w:right w:val="nil"/>
            </w:tcBorders>
            <w:noWrap w:val="0"/>
            <w:vAlign w:val="center"/>
          </w:tcPr>
          <w:p w14:paraId="71E5011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17.69 </w:t>
            </w:r>
          </w:p>
        </w:tc>
        <w:tc>
          <w:tcPr>
            <w:tcW w:w="272" w:type="pct"/>
            <w:noWrap w:val="0"/>
            <w:vAlign w:val="center"/>
          </w:tcPr>
          <w:p w14:paraId="7AFB855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18.06 </w:t>
            </w:r>
          </w:p>
        </w:tc>
        <w:tc>
          <w:tcPr>
            <w:tcW w:w="229" w:type="pct"/>
            <w:noWrap w:val="0"/>
            <w:vAlign w:val="center"/>
          </w:tcPr>
          <w:p w14:paraId="092D8EE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0.99 </w:t>
            </w:r>
          </w:p>
        </w:tc>
        <w:tc>
          <w:tcPr>
            <w:tcW w:w="233" w:type="pct"/>
            <w:noWrap w:val="0"/>
            <w:vAlign w:val="center"/>
          </w:tcPr>
          <w:p w14:paraId="64F29B3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0.35 </w:t>
            </w:r>
          </w:p>
        </w:tc>
        <w:tc>
          <w:tcPr>
            <w:tcW w:w="272" w:type="pct"/>
            <w:noWrap w:val="0"/>
            <w:vAlign w:val="center"/>
          </w:tcPr>
          <w:p w14:paraId="164062E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16.58 </w:t>
            </w:r>
          </w:p>
        </w:tc>
        <w:tc>
          <w:tcPr>
            <w:tcW w:w="272" w:type="pct"/>
            <w:noWrap w:val="0"/>
            <w:vAlign w:val="center"/>
          </w:tcPr>
          <w:p w14:paraId="3834411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15.96 </w:t>
            </w:r>
          </w:p>
        </w:tc>
        <w:tc>
          <w:tcPr>
            <w:tcW w:w="273" w:type="pct"/>
            <w:noWrap w:val="0"/>
            <w:vAlign w:val="center"/>
          </w:tcPr>
          <w:p w14:paraId="2686A90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17.11 </w:t>
            </w:r>
          </w:p>
        </w:tc>
        <w:tc>
          <w:tcPr>
            <w:tcW w:w="273" w:type="pct"/>
            <w:noWrap w:val="0"/>
            <w:vAlign w:val="center"/>
          </w:tcPr>
          <w:p w14:paraId="5617A00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16.82 </w:t>
            </w:r>
          </w:p>
        </w:tc>
        <w:tc>
          <w:tcPr>
            <w:tcW w:w="273" w:type="pct"/>
            <w:noWrap w:val="0"/>
            <w:vAlign w:val="center"/>
          </w:tcPr>
          <w:p w14:paraId="3B9BBE6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16.64 </w:t>
            </w:r>
          </w:p>
        </w:tc>
        <w:tc>
          <w:tcPr>
            <w:tcW w:w="273" w:type="pct"/>
            <w:noWrap w:val="0"/>
            <w:vAlign w:val="center"/>
          </w:tcPr>
          <w:p w14:paraId="570E613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16.52 </w:t>
            </w:r>
          </w:p>
        </w:tc>
        <w:tc>
          <w:tcPr>
            <w:tcW w:w="273" w:type="pct"/>
            <w:noWrap w:val="0"/>
            <w:vAlign w:val="center"/>
          </w:tcPr>
          <w:p w14:paraId="68891FE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16.61 </w:t>
            </w:r>
          </w:p>
        </w:tc>
        <w:tc>
          <w:tcPr>
            <w:tcW w:w="230" w:type="pct"/>
            <w:noWrap w:val="0"/>
            <w:vAlign w:val="center"/>
          </w:tcPr>
          <w:p w14:paraId="0DD9782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1.15 </w:t>
            </w:r>
          </w:p>
        </w:tc>
        <w:tc>
          <w:tcPr>
            <w:tcW w:w="234" w:type="pct"/>
            <w:noWrap w:val="0"/>
            <w:vAlign w:val="center"/>
          </w:tcPr>
          <w:p w14:paraId="7FA3052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0.38 </w:t>
            </w:r>
          </w:p>
        </w:tc>
      </w:tr>
      <w:tr w14:paraId="59120E22">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exact"/>
        </w:trPr>
        <w:tc>
          <w:tcPr>
            <w:tcW w:w="252" w:type="pct"/>
            <w:tcBorders>
              <w:right w:val="nil"/>
            </w:tcBorders>
            <w:noWrap w:val="0"/>
            <w:vAlign w:val="center"/>
          </w:tcPr>
          <w:p w14:paraId="476C095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24</w:t>
            </w:r>
          </w:p>
        </w:tc>
        <w:tc>
          <w:tcPr>
            <w:tcW w:w="272" w:type="pct"/>
            <w:tcBorders>
              <w:right w:val="nil"/>
            </w:tcBorders>
            <w:noWrap w:val="0"/>
            <w:vAlign w:val="center"/>
          </w:tcPr>
          <w:p w14:paraId="19CEE3E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25.27 </w:t>
            </w:r>
          </w:p>
        </w:tc>
        <w:tc>
          <w:tcPr>
            <w:tcW w:w="272" w:type="pct"/>
            <w:tcBorders>
              <w:right w:val="nil"/>
            </w:tcBorders>
            <w:noWrap w:val="0"/>
            <w:vAlign w:val="center"/>
          </w:tcPr>
          <w:p w14:paraId="6352645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25.11 </w:t>
            </w:r>
          </w:p>
        </w:tc>
        <w:tc>
          <w:tcPr>
            <w:tcW w:w="272" w:type="pct"/>
            <w:tcBorders>
              <w:right w:val="nil"/>
            </w:tcBorders>
            <w:noWrap w:val="0"/>
            <w:vAlign w:val="center"/>
          </w:tcPr>
          <w:p w14:paraId="6BE64B4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25.06 </w:t>
            </w:r>
          </w:p>
        </w:tc>
        <w:tc>
          <w:tcPr>
            <w:tcW w:w="272" w:type="pct"/>
            <w:tcBorders>
              <w:right w:val="nil"/>
            </w:tcBorders>
            <w:noWrap w:val="0"/>
            <w:vAlign w:val="center"/>
          </w:tcPr>
          <w:p w14:paraId="2DD3F00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25.41 </w:t>
            </w:r>
          </w:p>
        </w:tc>
        <w:tc>
          <w:tcPr>
            <w:tcW w:w="272" w:type="pct"/>
            <w:tcBorders>
              <w:right w:val="nil"/>
            </w:tcBorders>
            <w:noWrap w:val="0"/>
            <w:vAlign w:val="center"/>
          </w:tcPr>
          <w:p w14:paraId="694B0FD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24.84 </w:t>
            </w:r>
          </w:p>
        </w:tc>
        <w:tc>
          <w:tcPr>
            <w:tcW w:w="272" w:type="pct"/>
            <w:tcBorders>
              <w:right w:val="nil"/>
            </w:tcBorders>
            <w:noWrap w:val="0"/>
            <w:vAlign w:val="center"/>
          </w:tcPr>
          <w:p w14:paraId="73337C2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24.69 </w:t>
            </w:r>
          </w:p>
        </w:tc>
        <w:tc>
          <w:tcPr>
            <w:tcW w:w="272" w:type="pct"/>
            <w:noWrap w:val="0"/>
            <w:vAlign w:val="center"/>
          </w:tcPr>
          <w:p w14:paraId="202D914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25.06 </w:t>
            </w:r>
          </w:p>
        </w:tc>
        <w:tc>
          <w:tcPr>
            <w:tcW w:w="229" w:type="pct"/>
            <w:noWrap w:val="0"/>
            <w:vAlign w:val="center"/>
          </w:tcPr>
          <w:p w14:paraId="2E3F337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0.72 </w:t>
            </w:r>
          </w:p>
        </w:tc>
        <w:tc>
          <w:tcPr>
            <w:tcW w:w="233" w:type="pct"/>
            <w:noWrap w:val="0"/>
            <w:vAlign w:val="center"/>
          </w:tcPr>
          <w:p w14:paraId="3002FEE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0.27 </w:t>
            </w:r>
          </w:p>
        </w:tc>
        <w:tc>
          <w:tcPr>
            <w:tcW w:w="272" w:type="pct"/>
            <w:noWrap w:val="0"/>
            <w:vAlign w:val="center"/>
          </w:tcPr>
          <w:p w14:paraId="38C9CC3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28.30 </w:t>
            </w:r>
          </w:p>
        </w:tc>
        <w:tc>
          <w:tcPr>
            <w:tcW w:w="272" w:type="pct"/>
            <w:noWrap w:val="0"/>
            <w:vAlign w:val="center"/>
          </w:tcPr>
          <w:p w14:paraId="434307B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27.46 </w:t>
            </w:r>
          </w:p>
        </w:tc>
        <w:tc>
          <w:tcPr>
            <w:tcW w:w="273" w:type="pct"/>
            <w:noWrap w:val="0"/>
            <w:vAlign w:val="center"/>
          </w:tcPr>
          <w:p w14:paraId="1031ADF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28.16 </w:t>
            </w:r>
          </w:p>
        </w:tc>
        <w:tc>
          <w:tcPr>
            <w:tcW w:w="273" w:type="pct"/>
            <w:noWrap w:val="0"/>
            <w:vAlign w:val="center"/>
          </w:tcPr>
          <w:p w14:paraId="741EB43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27.83 </w:t>
            </w:r>
          </w:p>
        </w:tc>
        <w:tc>
          <w:tcPr>
            <w:tcW w:w="273" w:type="pct"/>
            <w:noWrap w:val="0"/>
            <w:vAlign w:val="center"/>
          </w:tcPr>
          <w:p w14:paraId="0B86EAE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27.90 </w:t>
            </w:r>
          </w:p>
        </w:tc>
        <w:tc>
          <w:tcPr>
            <w:tcW w:w="273" w:type="pct"/>
            <w:noWrap w:val="0"/>
            <w:vAlign w:val="center"/>
          </w:tcPr>
          <w:p w14:paraId="61DC23B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27.51 </w:t>
            </w:r>
          </w:p>
        </w:tc>
        <w:tc>
          <w:tcPr>
            <w:tcW w:w="273" w:type="pct"/>
            <w:noWrap w:val="0"/>
            <w:vAlign w:val="center"/>
          </w:tcPr>
          <w:p w14:paraId="14656A7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27.86 </w:t>
            </w:r>
          </w:p>
        </w:tc>
        <w:tc>
          <w:tcPr>
            <w:tcW w:w="230" w:type="pct"/>
            <w:noWrap w:val="0"/>
            <w:vAlign w:val="center"/>
          </w:tcPr>
          <w:p w14:paraId="10E1B3B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0.84 </w:t>
            </w:r>
          </w:p>
        </w:tc>
        <w:tc>
          <w:tcPr>
            <w:tcW w:w="234" w:type="pct"/>
            <w:noWrap w:val="0"/>
            <w:vAlign w:val="center"/>
          </w:tcPr>
          <w:p w14:paraId="5A80C08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0.34 </w:t>
            </w:r>
          </w:p>
        </w:tc>
      </w:tr>
      <w:tr w14:paraId="473CC069">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exact"/>
        </w:trPr>
        <w:tc>
          <w:tcPr>
            <w:tcW w:w="252" w:type="pct"/>
            <w:tcBorders>
              <w:right w:val="nil"/>
            </w:tcBorders>
            <w:noWrap w:val="0"/>
            <w:vAlign w:val="center"/>
          </w:tcPr>
          <w:p w14:paraId="6E78A9B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28</w:t>
            </w:r>
          </w:p>
        </w:tc>
        <w:tc>
          <w:tcPr>
            <w:tcW w:w="272" w:type="pct"/>
            <w:tcBorders>
              <w:right w:val="nil"/>
            </w:tcBorders>
            <w:noWrap w:val="0"/>
            <w:vAlign w:val="center"/>
          </w:tcPr>
          <w:p w14:paraId="5EABA96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27.46 </w:t>
            </w:r>
          </w:p>
        </w:tc>
        <w:tc>
          <w:tcPr>
            <w:tcW w:w="272" w:type="pct"/>
            <w:tcBorders>
              <w:right w:val="nil"/>
            </w:tcBorders>
            <w:noWrap w:val="0"/>
            <w:vAlign w:val="center"/>
          </w:tcPr>
          <w:p w14:paraId="07CF3A7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28.36 </w:t>
            </w:r>
          </w:p>
        </w:tc>
        <w:tc>
          <w:tcPr>
            <w:tcW w:w="272" w:type="pct"/>
            <w:tcBorders>
              <w:right w:val="nil"/>
            </w:tcBorders>
            <w:noWrap w:val="0"/>
            <w:vAlign w:val="center"/>
          </w:tcPr>
          <w:p w14:paraId="3457A67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27.60 </w:t>
            </w:r>
          </w:p>
        </w:tc>
        <w:tc>
          <w:tcPr>
            <w:tcW w:w="272" w:type="pct"/>
            <w:tcBorders>
              <w:right w:val="nil"/>
            </w:tcBorders>
            <w:noWrap w:val="0"/>
            <w:vAlign w:val="center"/>
          </w:tcPr>
          <w:p w14:paraId="3823881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28.14 </w:t>
            </w:r>
          </w:p>
        </w:tc>
        <w:tc>
          <w:tcPr>
            <w:tcW w:w="272" w:type="pct"/>
            <w:tcBorders>
              <w:right w:val="nil"/>
            </w:tcBorders>
            <w:noWrap w:val="0"/>
            <w:vAlign w:val="center"/>
          </w:tcPr>
          <w:p w14:paraId="7B11DEC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27.78 </w:t>
            </w:r>
          </w:p>
        </w:tc>
        <w:tc>
          <w:tcPr>
            <w:tcW w:w="272" w:type="pct"/>
            <w:tcBorders>
              <w:right w:val="nil"/>
            </w:tcBorders>
            <w:noWrap w:val="0"/>
            <w:vAlign w:val="center"/>
          </w:tcPr>
          <w:p w14:paraId="1207DC6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27.91 </w:t>
            </w:r>
          </w:p>
        </w:tc>
        <w:tc>
          <w:tcPr>
            <w:tcW w:w="272" w:type="pct"/>
            <w:noWrap w:val="0"/>
            <w:vAlign w:val="center"/>
          </w:tcPr>
          <w:p w14:paraId="458E433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27.88 </w:t>
            </w:r>
          </w:p>
        </w:tc>
        <w:tc>
          <w:tcPr>
            <w:tcW w:w="229" w:type="pct"/>
            <w:noWrap w:val="0"/>
            <w:vAlign w:val="center"/>
          </w:tcPr>
          <w:p w14:paraId="4767F10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0.90 </w:t>
            </w:r>
          </w:p>
        </w:tc>
        <w:tc>
          <w:tcPr>
            <w:tcW w:w="233" w:type="pct"/>
            <w:noWrap w:val="0"/>
            <w:vAlign w:val="center"/>
          </w:tcPr>
          <w:p w14:paraId="41DB33C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0.34 </w:t>
            </w:r>
          </w:p>
        </w:tc>
        <w:tc>
          <w:tcPr>
            <w:tcW w:w="272" w:type="pct"/>
            <w:noWrap w:val="0"/>
            <w:vAlign w:val="center"/>
          </w:tcPr>
          <w:p w14:paraId="57D67BD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26.20 </w:t>
            </w:r>
          </w:p>
        </w:tc>
        <w:tc>
          <w:tcPr>
            <w:tcW w:w="272" w:type="pct"/>
            <w:noWrap w:val="0"/>
            <w:vAlign w:val="center"/>
          </w:tcPr>
          <w:p w14:paraId="6D027BF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25.64 </w:t>
            </w:r>
          </w:p>
        </w:tc>
        <w:tc>
          <w:tcPr>
            <w:tcW w:w="273" w:type="pct"/>
            <w:noWrap w:val="0"/>
            <w:vAlign w:val="center"/>
          </w:tcPr>
          <w:p w14:paraId="2C94B16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25.54 </w:t>
            </w:r>
          </w:p>
        </w:tc>
        <w:tc>
          <w:tcPr>
            <w:tcW w:w="273" w:type="pct"/>
            <w:noWrap w:val="0"/>
            <w:vAlign w:val="center"/>
          </w:tcPr>
          <w:p w14:paraId="4DE1AF0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26.11 </w:t>
            </w:r>
          </w:p>
        </w:tc>
        <w:tc>
          <w:tcPr>
            <w:tcW w:w="273" w:type="pct"/>
            <w:noWrap w:val="0"/>
            <w:vAlign w:val="center"/>
          </w:tcPr>
          <w:p w14:paraId="6BF4FB8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25.64 </w:t>
            </w:r>
          </w:p>
        </w:tc>
        <w:tc>
          <w:tcPr>
            <w:tcW w:w="273" w:type="pct"/>
            <w:noWrap w:val="0"/>
            <w:vAlign w:val="center"/>
          </w:tcPr>
          <w:p w14:paraId="1A882A0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26.17 </w:t>
            </w:r>
          </w:p>
        </w:tc>
        <w:tc>
          <w:tcPr>
            <w:tcW w:w="273" w:type="pct"/>
            <w:noWrap w:val="0"/>
            <w:vAlign w:val="center"/>
          </w:tcPr>
          <w:p w14:paraId="52AE2F1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25.88 </w:t>
            </w:r>
          </w:p>
        </w:tc>
        <w:tc>
          <w:tcPr>
            <w:tcW w:w="230" w:type="pct"/>
            <w:noWrap w:val="0"/>
            <w:vAlign w:val="center"/>
          </w:tcPr>
          <w:p w14:paraId="412BBEE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0.63 </w:t>
            </w:r>
          </w:p>
        </w:tc>
        <w:tc>
          <w:tcPr>
            <w:tcW w:w="234" w:type="pct"/>
            <w:noWrap w:val="0"/>
            <w:vAlign w:val="center"/>
          </w:tcPr>
          <w:p w14:paraId="540BC8A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0.31 </w:t>
            </w:r>
          </w:p>
        </w:tc>
      </w:tr>
      <w:tr w14:paraId="11258195">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exact"/>
        </w:trPr>
        <w:tc>
          <w:tcPr>
            <w:tcW w:w="252" w:type="pct"/>
            <w:tcBorders>
              <w:right w:val="nil"/>
            </w:tcBorders>
            <w:noWrap w:val="0"/>
            <w:vAlign w:val="center"/>
          </w:tcPr>
          <w:p w14:paraId="171F1B6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30</w:t>
            </w:r>
          </w:p>
        </w:tc>
        <w:tc>
          <w:tcPr>
            <w:tcW w:w="768" w:type="dxa"/>
            <w:tcBorders>
              <w:right w:val="nil"/>
            </w:tcBorders>
            <w:noWrap w:val="0"/>
            <w:vAlign w:val="center"/>
          </w:tcPr>
          <w:p w14:paraId="0B4983F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28.74 </w:t>
            </w:r>
          </w:p>
        </w:tc>
        <w:tc>
          <w:tcPr>
            <w:tcW w:w="768" w:type="dxa"/>
            <w:tcBorders>
              <w:right w:val="nil"/>
            </w:tcBorders>
            <w:noWrap w:val="0"/>
            <w:vAlign w:val="center"/>
          </w:tcPr>
          <w:p w14:paraId="249FDBF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27.68 </w:t>
            </w:r>
          </w:p>
        </w:tc>
        <w:tc>
          <w:tcPr>
            <w:tcW w:w="768" w:type="dxa"/>
            <w:tcBorders>
              <w:right w:val="nil"/>
            </w:tcBorders>
            <w:noWrap w:val="0"/>
            <w:vAlign w:val="center"/>
          </w:tcPr>
          <w:p w14:paraId="06B293D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27.86 </w:t>
            </w:r>
          </w:p>
        </w:tc>
        <w:tc>
          <w:tcPr>
            <w:tcW w:w="768" w:type="dxa"/>
            <w:tcBorders>
              <w:right w:val="nil"/>
            </w:tcBorders>
            <w:noWrap w:val="0"/>
            <w:vAlign w:val="center"/>
          </w:tcPr>
          <w:p w14:paraId="6F2C4FF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28.37 </w:t>
            </w:r>
          </w:p>
        </w:tc>
        <w:tc>
          <w:tcPr>
            <w:tcW w:w="768" w:type="dxa"/>
            <w:tcBorders>
              <w:right w:val="nil"/>
            </w:tcBorders>
            <w:noWrap w:val="0"/>
            <w:vAlign w:val="center"/>
          </w:tcPr>
          <w:p w14:paraId="7322C83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27.99 </w:t>
            </w:r>
          </w:p>
        </w:tc>
        <w:tc>
          <w:tcPr>
            <w:tcW w:w="768" w:type="dxa"/>
            <w:tcBorders>
              <w:right w:val="nil"/>
            </w:tcBorders>
            <w:noWrap w:val="0"/>
            <w:vAlign w:val="center"/>
          </w:tcPr>
          <w:p w14:paraId="31E50F9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28.16 </w:t>
            </w:r>
          </w:p>
        </w:tc>
        <w:tc>
          <w:tcPr>
            <w:tcW w:w="768" w:type="dxa"/>
            <w:noWrap w:val="0"/>
            <w:vAlign w:val="center"/>
          </w:tcPr>
          <w:p w14:paraId="6262DAE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28.13 </w:t>
            </w:r>
          </w:p>
        </w:tc>
        <w:tc>
          <w:tcPr>
            <w:tcW w:w="647" w:type="dxa"/>
            <w:noWrap w:val="0"/>
            <w:vAlign w:val="center"/>
          </w:tcPr>
          <w:p w14:paraId="442E5B0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1.06 </w:t>
            </w:r>
          </w:p>
        </w:tc>
        <w:tc>
          <w:tcPr>
            <w:tcW w:w="675" w:type="dxa"/>
            <w:noWrap w:val="0"/>
            <w:vAlign w:val="center"/>
          </w:tcPr>
          <w:p w14:paraId="7C705DF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0.38 </w:t>
            </w:r>
          </w:p>
        </w:tc>
        <w:tc>
          <w:tcPr>
            <w:tcW w:w="272" w:type="pct"/>
            <w:noWrap w:val="0"/>
            <w:vAlign w:val="center"/>
          </w:tcPr>
          <w:p w14:paraId="5E842C6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25.57 </w:t>
            </w:r>
          </w:p>
        </w:tc>
        <w:tc>
          <w:tcPr>
            <w:tcW w:w="272" w:type="pct"/>
            <w:noWrap w:val="0"/>
            <w:vAlign w:val="center"/>
          </w:tcPr>
          <w:p w14:paraId="0DA893A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26.52 </w:t>
            </w:r>
          </w:p>
        </w:tc>
        <w:tc>
          <w:tcPr>
            <w:tcW w:w="273" w:type="pct"/>
            <w:noWrap w:val="0"/>
            <w:vAlign w:val="center"/>
          </w:tcPr>
          <w:p w14:paraId="3976512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26.25 </w:t>
            </w:r>
          </w:p>
        </w:tc>
        <w:tc>
          <w:tcPr>
            <w:tcW w:w="273" w:type="pct"/>
            <w:noWrap w:val="0"/>
            <w:vAlign w:val="center"/>
          </w:tcPr>
          <w:p w14:paraId="6BA1819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25.76 </w:t>
            </w:r>
          </w:p>
        </w:tc>
        <w:tc>
          <w:tcPr>
            <w:tcW w:w="273" w:type="pct"/>
            <w:noWrap w:val="0"/>
            <w:vAlign w:val="center"/>
          </w:tcPr>
          <w:p w14:paraId="6D99F9A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26.14 </w:t>
            </w:r>
          </w:p>
        </w:tc>
        <w:tc>
          <w:tcPr>
            <w:tcW w:w="273" w:type="pct"/>
            <w:noWrap w:val="0"/>
            <w:vAlign w:val="center"/>
          </w:tcPr>
          <w:p w14:paraId="6DD0D64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25.66 </w:t>
            </w:r>
          </w:p>
        </w:tc>
        <w:tc>
          <w:tcPr>
            <w:tcW w:w="273" w:type="pct"/>
            <w:noWrap w:val="0"/>
            <w:vAlign w:val="center"/>
          </w:tcPr>
          <w:p w14:paraId="513BDDB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25.98 </w:t>
            </w:r>
          </w:p>
        </w:tc>
        <w:tc>
          <w:tcPr>
            <w:tcW w:w="230" w:type="pct"/>
            <w:noWrap w:val="0"/>
            <w:vAlign w:val="center"/>
          </w:tcPr>
          <w:p w14:paraId="4EA0860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0.95 </w:t>
            </w:r>
          </w:p>
        </w:tc>
        <w:tc>
          <w:tcPr>
            <w:tcW w:w="234" w:type="pct"/>
            <w:noWrap w:val="0"/>
            <w:vAlign w:val="center"/>
          </w:tcPr>
          <w:p w14:paraId="6524D0B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0.38 </w:t>
            </w:r>
          </w:p>
        </w:tc>
      </w:tr>
    </w:tbl>
    <w:p w14:paraId="0BB92E3D">
      <w:pPr>
        <w:keepNext w:val="0"/>
        <w:keepLines w:val="0"/>
        <w:pageBreakBefore w:val="0"/>
        <w:widowControl w:val="0"/>
        <w:kinsoku/>
        <w:wordWrap/>
        <w:overflowPunct/>
        <w:topLinePunct w:val="0"/>
        <w:bidi w:val="0"/>
        <w:adjustRightInd/>
        <w:snapToGrid/>
        <w:spacing w:line="600" w:lineRule="exact"/>
        <w:jc w:val="left"/>
        <w:rPr>
          <w:rFonts w:hint="eastAsia" w:ascii="Times New Roman" w:hAnsi="Times New Roman" w:eastAsia="仿宋_GB2312" w:cs="仿宋_GB2312"/>
          <w:color w:val="000000" w:themeColor="text1"/>
          <w:sz w:val="32"/>
          <w:szCs w:val="32"/>
          <w14:textFill>
            <w14:solidFill>
              <w14:schemeClr w14:val="tx1"/>
            </w14:solidFill>
          </w14:textFill>
        </w:rPr>
      </w:pPr>
    </w:p>
    <w:p w14:paraId="07FB7C61">
      <w:pPr>
        <w:keepNext w:val="0"/>
        <w:keepLines w:val="0"/>
        <w:pageBreakBefore w:val="0"/>
        <w:widowControl w:val="0"/>
        <w:kinsoku/>
        <w:wordWrap/>
        <w:overflowPunct/>
        <w:topLinePunct w:val="0"/>
        <w:bidi w:val="0"/>
        <w:adjustRightInd/>
        <w:snapToGrid/>
        <w:spacing w:line="600" w:lineRule="exact"/>
        <w:jc w:val="left"/>
        <w:rPr>
          <w:rFonts w:hint="eastAsia" w:ascii="Times New Roman" w:hAnsi="Times New Roman" w:eastAsia="仿宋_GB2312" w:cs="仿宋_GB2312"/>
          <w:color w:val="000000" w:themeColor="text1"/>
          <w:sz w:val="32"/>
          <w:szCs w:val="32"/>
          <w14:textFill>
            <w14:solidFill>
              <w14:schemeClr w14:val="tx1"/>
            </w14:solidFill>
          </w14:textFill>
        </w:rPr>
        <w:sectPr>
          <w:pgSz w:w="16838" w:h="11906" w:orient="landscape"/>
          <w:pgMar w:top="1587" w:right="2098" w:bottom="1474" w:left="1984" w:header="851" w:footer="992" w:gutter="0"/>
          <w:pgBorders>
            <w:top w:val="none" w:sz="0" w:space="0"/>
            <w:left w:val="none" w:sz="0" w:space="0"/>
            <w:bottom w:val="none" w:sz="0" w:space="0"/>
            <w:right w:val="none" w:sz="0" w:space="0"/>
          </w:pgBorders>
          <w:cols w:space="0" w:num="1"/>
          <w:rtlGutter w:val="0"/>
          <w:docGrid w:type="lines" w:linePitch="315" w:charSpace="0"/>
        </w:sectPr>
      </w:pPr>
    </w:p>
    <w:p w14:paraId="09BD10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楷体"/>
          <w:b w:val="0"/>
          <w:bCs/>
          <w:szCs w:val="21"/>
        </w:rPr>
        <w:t>表</w:t>
      </w:r>
      <w:r>
        <w:rPr>
          <w:rFonts w:hint="eastAsia" w:ascii="Times New Roman" w:hAnsi="Times New Roman" w:eastAsia="楷体"/>
          <w:b w:val="0"/>
          <w:bCs/>
          <w:szCs w:val="21"/>
          <w:lang w:val="en-US" w:eastAsia="zh-CN"/>
        </w:rPr>
        <w:t>6 实验室间测试结果分析          %</w:t>
      </w:r>
    </w:p>
    <w:tbl>
      <w:tblPr>
        <w:tblStyle w:val="9"/>
        <w:tblW w:w="4997" w:type="pct"/>
        <w:tblInd w:w="0"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68"/>
        <w:gridCol w:w="1133"/>
        <w:gridCol w:w="1825"/>
        <w:gridCol w:w="727"/>
        <w:gridCol w:w="622"/>
        <w:gridCol w:w="727"/>
        <w:gridCol w:w="727"/>
        <w:gridCol w:w="727"/>
      </w:tblGrid>
      <w:tr w14:paraId="100DD87C">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2" w:hRule="exact"/>
        </w:trPr>
        <w:tc>
          <w:tcPr>
            <w:tcW w:w="3051" w:type="pct"/>
            <w:gridSpan w:val="3"/>
            <w:tcBorders>
              <w:bottom w:val="single" w:color="000000" w:sz="4" w:space="0"/>
              <w:tl2br w:val="single" w:color="000000" w:sz="4" w:space="0"/>
            </w:tcBorders>
            <w:shd w:val="clear" w:color="auto" w:fill="auto"/>
            <w:vAlign w:val="center"/>
          </w:tcPr>
          <w:p w14:paraId="007D398F">
            <w:pPr>
              <w:keepNext w:val="0"/>
              <w:keepLines w:val="0"/>
              <w:widowControl/>
              <w:suppressLineNumbers w:val="0"/>
              <w:jc w:val="left"/>
              <w:textAlignment w:val="center"/>
              <w:rPr>
                <w:rFonts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 xml:space="preserve">                                          样品序号</w:t>
            </w:r>
            <w:r>
              <w:rPr>
                <w:rFonts w:hint="eastAsia" w:ascii="Times New Roman" w:hAnsi="Times New Roman" w:eastAsia="仿宋_GB2312" w:cs="仿宋_GB2312"/>
                <w:i w:val="0"/>
                <w:iCs w:val="0"/>
                <w:color w:val="000000"/>
                <w:kern w:val="0"/>
                <w:sz w:val="18"/>
                <w:szCs w:val="18"/>
                <w:u w:val="none"/>
                <w:lang w:val="en-US" w:eastAsia="zh-CN" w:bidi="ar"/>
              </w:rPr>
              <w:br w:type="textWrapping"/>
            </w:r>
            <w:r>
              <w:rPr>
                <w:rFonts w:hint="eastAsia" w:ascii="Times New Roman" w:hAnsi="Times New Roman" w:eastAsia="仿宋_GB2312" w:cs="仿宋_GB2312"/>
                <w:i w:val="0"/>
                <w:iCs w:val="0"/>
                <w:color w:val="000000"/>
                <w:kern w:val="0"/>
                <w:sz w:val="18"/>
                <w:szCs w:val="18"/>
                <w:u w:val="none"/>
                <w:lang w:val="en-US" w:eastAsia="zh-CN" w:bidi="ar"/>
              </w:rPr>
              <w:t xml:space="preserve">               实验室</w:t>
            </w:r>
          </w:p>
        </w:tc>
        <w:tc>
          <w:tcPr>
            <w:tcW w:w="401" w:type="pct"/>
            <w:tcBorders>
              <w:bottom w:val="single" w:color="000000" w:sz="4" w:space="0"/>
            </w:tcBorders>
            <w:shd w:val="clear" w:color="auto" w:fill="auto"/>
            <w:vAlign w:val="center"/>
          </w:tcPr>
          <w:p w14:paraId="4F6799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343" w:type="pct"/>
            <w:tcBorders>
              <w:bottom w:val="single" w:color="000000" w:sz="4" w:space="0"/>
            </w:tcBorders>
            <w:shd w:val="clear" w:color="auto" w:fill="auto"/>
            <w:vAlign w:val="center"/>
          </w:tcPr>
          <w:p w14:paraId="501E14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401" w:type="pct"/>
            <w:tcBorders>
              <w:bottom w:val="single" w:color="000000" w:sz="4" w:space="0"/>
            </w:tcBorders>
            <w:shd w:val="clear" w:color="auto" w:fill="auto"/>
            <w:vAlign w:val="center"/>
          </w:tcPr>
          <w:p w14:paraId="403725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401" w:type="pct"/>
            <w:tcBorders>
              <w:bottom w:val="single" w:color="000000" w:sz="4" w:space="0"/>
            </w:tcBorders>
            <w:shd w:val="clear" w:color="auto" w:fill="auto"/>
            <w:vAlign w:val="center"/>
          </w:tcPr>
          <w:p w14:paraId="322B5A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401" w:type="pct"/>
            <w:tcBorders>
              <w:bottom w:val="single" w:color="000000" w:sz="4" w:space="0"/>
            </w:tcBorders>
            <w:shd w:val="clear" w:color="auto" w:fill="auto"/>
            <w:vAlign w:val="center"/>
          </w:tcPr>
          <w:p w14:paraId="5CB13A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r>
      <w:tr w14:paraId="61A368ED">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418" w:type="pct"/>
            <w:vMerge w:val="restart"/>
            <w:tcBorders>
              <w:top w:val="single" w:color="000000" w:sz="4" w:space="0"/>
            </w:tcBorders>
            <w:shd w:val="clear" w:color="auto" w:fill="auto"/>
            <w:vAlign w:val="center"/>
          </w:tcPr>
          <w:p w14:paraId="3741EC50">
            <w:pPr>
              <w:keepNext w:val="0"/>
              <w:keepLines w:val="0"/>
              <w:widowControl/>
              <w:suppressLineNumbers w:val="0"/>
              <w:jc w:val="center"/>
              <w:textAlignment w:val="center"/>
              <w:rPr>
                <w:rFonts w:hint="eastAsia"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标准化学值</w:t>
            </w:r>
          </w:p>
        </w:tc>
        <w:tc>
          <w:tcPr>
            <w:tcW w:w="1632" w:type="pct"/>
            <w:gridSpan w:val="2"/>
            <w:tcBorders>
              <w:top w:val="single" w:color="000000" w:sz="4" w:space="0"/>
            </w:tcBorders>
            <w:shd w:val="clear" w:color="auto" w:fill="auto"/>
            <w:vAlign w:val="center"/>
          </w:tcPr>
          <w:p w14:paraId="7873CE2E">
            <w:pPr>
              <w:keepNext w:val="0"/>
              <w:keepLines w:val="0"/>
              <w:widowControl/>
              <w:suppressLineNumbers w:val="0"/>
              <w:jc w:val="center"/>
              <w:textAlignment w:val="center"/>
              <w:rPr>
                <w:rFonts w:hint="default" w:ascii="Times New Roman" w:hAnsi="Times New Roman" w:eastAsia="仿宋_GB2312" w:cs="仿宋_GB2312"/>
                <w:i w:val="0"/>
                <w:iCs w:val="0"/>
                <w:color w:val="000000"/>
                <w:sz w:val="18"/>
                <w:szCs w:val="18"/>
                <w:u w:val="none"/>
                <w:lang w:val="en-US"/>
              </w:rPr>
            </w:pPr>
            <w:r>
              <w:rPr>
                <w:rFonts w:hint="eastAsia" w:ascii="Times New Roman" w:hAnsi="Times New Roman" w:eastAsia="仿宋_GB2312" w:cs="仿宋_GB2312"/>
                <w:i w:val="0"/>
                <w:iCs w:val="0"/>
                <w:color w:val="000000"/>
                <w:kern w:val="0"/>
                <w:sz w:val="18"/>
                <w:szCs w:val="18"/>
                <w:u w:val="none"/>
                <w:lang w:val="en-US" w:eastAsia="zh-CN" w:bidi="ar"/>
              </w:rPr>
              <w:t>实验室1</w:t>
            </w:r>
          </w:p>
        </w:tc>
        <w:tc>
          <w:tcPr>
            <w:tcW w:w="401" w:type="pct"/>
            <w:tcBorders>
              <w:top w:val="single" w:color="000000" w:sz="4" w:space="0"/>
            </w:tcBorders>
            <w:shd w:val="clear" w:color="auto" w:fill="auto"/>
            <w:vAlign w:val="center"/>
          </w:tcPr>
          <w:p w14:paraId="148C5E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26.2 </w:t>
            </w:r>
          </w:p>
        </w:tc>
        <w:tc>
          <w:tcPr>
            <w:tcW w:w="343" w:type="pct"/>
            <w:tcBorders>
              <w:top w:val="single" w:color="000000" w:sz="4" w:space="0"/>
            </w:tcBorders>
            <w:shd w:val="clear" w:color="auto" w:fill="auto"/>
            <w:vAlign w:val="center"/>
          </w:tcPr>
          <w:p w14:paraId="3AA665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2.7 </w:t>
            </w:r>
          </w:p>
        </w:tc>
        <w:tc>
          <w:tcPr>
            <w:tcW w:w="401" w:type="pct"/>
            <w:tcBorders>
              <w:top w:val="single" w:color="000000" w:sz="4" w:space="0"/>
            </w:tcBorders>
            <w:shd w:val="clear" w:color="auto" w:fill="auto"/>
            <w:vAlign w:val="center"/>
          </w:tcPr>
          <w:p w14:paraId="52EA999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16.1 </w:t>
            </w:r>
          </w:p>
        </w:tc>
        <w:tc>
          <w:tcPr>
            <w:tcW w:w="401" w:type="pct"/>
            <w:tcBorders>
              <w:top w:val="single" w:color="000000" w:sz="4" w:space="0"/>
            </w:tcBorders>
            <w:shd w:val="clear" w:color="auto" w:fill="auto"/>
            <w:vAlign w:val="center"/>
          </w:tcPr>
          <w:p w14:paraId="0E5F26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24.1 </w:t>
            </w:r>
          </w:p>
        </w:tc>
        <w:tc>
          <w:tcPr>
            <w:tcW w:w="401" w:type="pct"/>
            <w:tcBorders>
              <w:top w:val="single" w:color="000000" w:sz="4" w:space="0"/>
            </w:tcBorders>
            <w:shd w:val="clear" w:color="auto" w:fill="auto"/>
            <w:vAlign w:val="center"/>
          </w:tcPr>
          <w:p w14:paraId="7248A9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18.4 </w:t>
            </w:r>
          </w:p>
        </w:tc>
      </w:tr>
      <w:tr w14:paraId="0690C5EF">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418" w:type="pct"/>
            <w:vMerge w:val="continue"/>
            <w:shd w:val="clear" w:color="auto" w:fill="auto"/>
            <w:vAlign w:val="center"/>
          </w:tcPr>
          <w:p w14:paraId="42AE1438">
            <w:pPr>
              <w:jc w:val="center"/>
              <w:rPr>
                <w:rFonts w:hint="eastAsia" w:ascii="Times New Roman" w:hAnsi="Times New Roman" w:eastAsia="仿宋_GB2312" w:cs="仿宋_GB2312"/>
                <w:i w:val="0"/>
                <w:iCs w:val="0"/>
                <w:color w:val="000000"/>
                <w:sz w:val="18"/>
                <w:szCs w:val="18"/>
                <w:u w:val="none"/>
              </w:rPr>
            </w:pPr>
          </w:p>
        </w:tc>
        <w:tc>
          <w:tcPr>
            <w:tcW w:w="1632" w:type="pct"/>
            <w:gridSpan w:val="2"/>
            <w:shd w:val="clear" w:color="auto" w:fill="auto"/>
            <w:vAlign w:val="center"/>
          </w:tcPr>
          <w:p w14:paraId="38F5E8FF">
            <w:pPr>
              <w:keepNext w:val="0"/>
              <w:keepLines w:val="0"/>
              <w:widowControl/>
              <w:suppressLineNumbers w:val="0"/>
              <w:jc w:val="center"/>
              <w:textAlignment w:val="center"/>
              <w:rPr>
                <w:rFonts w:hint="default" w:ascii="Times New Roman" w:hAnsi="Times New Roman" w:eastAsia="仿宋_GB2312" w:cs="仿宋_GB2312"/>
                <w:i w:val="0"/>
                <w:iCs w:val="0"/>
                <w:color w:val="000000"/>
                <w:sz w:val="18"/>
                <w:szCs w:val="18"/>
                <w:u w:val="none"/>
                <w:lang w:val="en-US"/>
              </w:rPr>
            </w:pPr>
            <w:r>
              <w:rPr>
                <w:rFonts w:hint="eastAsia" w:ascii="Times New Roman" w:hAnsi="Times New Roman" w:eastAsia="仿宋_GB2312" w:cs="仿宋_GB2312"/>
                <w:i w:val="0"/>
                <w:iCs w:val="0"/>
                <w:color w:val="000000"/>
                <w:kern w:val="0"/>
                <w:sz w:val="18"/>
                <w:szCs w:val="18"/>
                <w:u w:val="none"/>
                <w:lang w:val="en-US" w:eastAsia="zh-CN" w:bidi="ar"/>
              </w:rPr>
              <w:t>实验室2</w:t>
            </w:r>
          </w:p>
        </w:tc>
        <w:tc>
          <w:tcPr>
            <w:tcW w:w="401" w:type="pct"/>
            <w:shd w:val="clear" w:color="auto" w:fill="auto"/>
            <w:vAlign w:val="center"/>
          </w:tcPr>
          <w:p w14:paraId="468353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27.2 </w:t>
            </w:r>
          </w:p>
        </w:tc>
        <w:tc>
          <w:tcPr>
            <w:tcW w:w="343" w:type="pct"/>
            <w:shd w:val="clear" w:color="auto" w:fill="auto"/>
            <w:vAlign w:val="center"/>
          </w:tcPr>
          <w:p w14:paraId="3323B9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4.4 </w:t>
            </w:r>
          </w:p>
        </w:tc>
        <w:tc>
          <w:tcPr>
            <w:tcW w:w="401" w:type="pct"/>
            <w:shd w:val="clear" w:color="auto" w:fill="auto"/>
            <w:vAlign w:val="center"/>
          </w:tcPr>
          <w:p w14:paraId="5C2F33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18.1 </w:t>
            </w:r>
          </w:p>
        </w:tc>
        <w:tc>
          <w:tcPr>
            <w:tcW w:w="401" w:type="pct"/>
            <w:shd w:val="clear" w:color="auto" w:fill="auto"/>
            <w:vAlign w:val="center"/>
          </w:tcPr>
          <w:p w14:paraId="11CAFED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25.2 </w:t>
            </w:r>
          </w:p>
        </w:tc>
        <w:tc>
          <w:tcPr>
            <w:tcW w:w="401" w:type="pct"/>
            <w:shd w:val="clear" w:color="auto" w:fill="auto"/>
            <w:vAlign w:val="center"/>
          </w:tcPr>
          <w:p w14:paraId="35C10A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18.8 </w:t>
            </w:r>
          </w:p>
        </w:tc>
      </w:tr>
      <w:tr w14:paraId="42E9513B">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418" w:type="pct"/>
            <w:vMerge w:val="continue"/>
            <w:shd w:val="clear" w:color="auto" w:fill="auto"/>
            <w:vAlign w:val="center"/>
          </w:tcPr>
          <w:p w14:paraId="3BB45702">
            <w:pPr>
              <w:jc w:val="center"/>
              <w:rPr>
                <w:rFonts w:hint="eastAsia" w:ascii="Times New Roman" w:hAnsi="Times New Roman" w:eastAsia="仿宋_GB2312" w:cs="仿宋_GB2312"/>
                <w:i w:val="0"/>
                <w:iCs w:val="0"/>
                <w:color w:val="000000"/>
                <w:sz w:val="18"/>
                <w:szCs w:val="18"/>
                <w:u w:val="none"/>
              </w:rPr>
            </w:pPr>
          </w:p>
        </w:tc>
        <w:tc>
          <w:tcPr>
            <w:tcW w:w="1632" w:type="pct"/>
            <w:gridSpan w:val="2"/>
            <w:shd w:val="clear" w:color="auto" w:fill="auto"/>
            <w:vAlign w:val="center"/>
          </w:tcPr>
          <w:p w14:paraId="77E96B57">
            <w:pPr>
              <w:keepNext w:val="0"/>
              <w:keepLines w:val="0"/>
              <w:widowControl/>
              <w:suppressLineNumbers w:val="0"/>
              <w:jc w:val="center"/>
              <w:textAlignment w:val="center"/>
              <w:rPr>
                <w:rFonts w:hint="default" w:ascii="Times New Roman" w:hAnsi="Times New Roman" w:eastAsia="仿宋_GB2312" w:cs="仿宋_GB2312"/>
                <w:i w:val="0"/>
                <w:iCs w:val="0"/>
                <w:color w:val="000000"/>
                <w:sz w:val="18"/>
                <w:szCs w:val="18"/>
                <w:u w:val="none"/>
                <w:lang w:val="en-US"/>
              </w:rPr>
            </w:pPr>
            <w:r>
              <w:rPr>
                <w:rFonts w:hint="eastAsia" w:ascii="Times New Roman" w:hAnsi="Times New Roman" w:eastAsia="仿宋_GB2312" w:cs="仿宋_GB2312"/>
                <w:i w:val="0"/>
                <w:iCs w:val="0"/>
                <w:color w:val="000000"/>
                <w:kern w:val="0"/>
                <w:sz w:val="18"/>
                <w:szCs w:val="18"/>
                <w:u w:val="none"/>
                <w:lang w:val="en-US" w:eastAsia="zh-CN" w:bidi="ar"/>
              </w:rPr>
              <w:t>实验室3</w:t>
            </w:r>
          </w:p>
        </w:tc>
        <w:tc>
          <w:tcPr>
            <w:tcW w:w="401" w:type="pct"/>
            <w:shd w:val="clear" w:color="auto" w:fill="auto"/>
            <w:vAlign w:val="center"/>
          </w:tcPr>
          <w:p w14:paraId="72FDCD4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27.7 </w:t>
            </w:r>
          </w:p>
        </w:tc>
        <w:tc>
          <w:tcPr>
            <w:tcW w:w="343" w:type="pct"/>
            <w:shd w:val="clear" w:color="auto" w:fill="auto"/>
            <w:vAlign w:val="center"/>
          </w:tcPr>
          <w:p w14:paraId="3897FA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3.3 </w:t>
            </w:r>
          </w:p>
        </w:tc>
        <w:tc>
          <w:tcPr>
            <w:tcW w:w="401" w:type="pct"/>
            <w:shd w:val="clear" w:color="auto" w:fill="auto"/>
            <w:vAlign w:val="center"/>
          </w:tcPr>
          <w:p w14:paraId="274278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17.7 </w:t>
            </w:r>
          </w:p>
        </w:tc>
        <w:tc>
          <w:tcPr>
            <w:tcW w:w="401" w:type="pct"/>
            <w:shd w:val="clear" w:color="auto" w:fill="auto"/>
            <w:vAlign w:val="center"/>
          </w:tcPr>
          <w:p w14:paraId="41B0CC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24.8 </w:t>
            </w:r>
          </w:p>
        </w:tc>
        <w:tc>
          <w:tcPr>
            <w:tcW w:w="401" w:type="pct"/>
            <w:shd w:val="clear" w:color="auto" w:fill="auto"/>
            <w:vAlign w:val="center"/>
          </w:tcPr>
          <w:p w14:paraId="4ACE36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17.8 </w:t>
            </w:r>
          </w:p>
        </w:tc>
      </w:tr>
      <w:tr w14:paraId="044EBB9F">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418" w:type="pct"/>
            <w:vMerge w:val="continue"/>
            <w:shd w:val="clear" w:color="auto" w:fill="auto"/>
            <w:vAlign w:val="center"/>
          </w:tcPr>
          <w:p w14:paraId="42534AC2">
            <w:pPr>
              <w:jc w:val="center"/>
              <w:rPr>
                <w:rFonts w:hint="eastAsia" w:ascii="Times New Roman" w:hAnsi="Times New Roman" w:eastAsia="仿宋_GB2312" w:cs="仿宋_GB2312"/>
                <w:i w:val="0"/>
                <w:iCs w:val="0"/>
                <w:color w:val="000000"/>
                <w:sz w:val="18"/>
                <w:szCs w:val="18"/>
                <w:u w:val="none"/>
              </w:rPr>
            </w:pPr>
          </w:p>
        </w:tc>
        <w:tc>
          <w:tcPr>
            <w:tcW w:w="1632" w:type="pct"/>
            <w:gridSpan w:val="2"/>
            <w:shd w:val="clear" w:color="auto" w:fill="auto"/>
            <w:vAlign w:val="center"/>
          </w:tcPr>
          <w:p w14:paraId="5F0A9400">
            <w:pPr>
              <w:keepNext w:val="0"/>
              <w:keepLines w:val="0"/>
              <w:widowControl/>
              <w:suppressLineNumbers w:val="0"/>
              <w:jc w:val="center"/>
              <w:textAlignment w:val="center"/>
              <w:rPr>
                <w:rFonts w:hint="default" w:ascii="Times New Roman" w:hAnsi="Times New Roman" w:eastAsia="仿宋_GB2312" w:cs="仿宋_GB2312"/>
                <w:i w:val="0"/>
                <w:iCs w:val="0"/>
                <w:color w:val="000000"/>
                <w:sz w:val="18"/>
                <w:szCs w:val="18"/>
                <w:u w:val="none"/>
                <w:lang w:val="en-US"/>
              </w:rPr>
            </w:pPr>
            <w:r>
              <w:rPr>
                <w:rFonts w:hint="eastAsia" w:ascii="Times New Roman" w:hAnsi="Times New Roman" w:eastAsia="仿宋_GB2312" w:cs="仿宋_GB2312"/>
                <w:i w:val="0"/>
                <w:iCs w:val="0"/>
                <w:color w:val="000000"/>
                <w:kern w:val="0"/>
                <w:sz w:val="18"/>
                <w:szCs w:val="18"/>
                <w:u w:val="none"/>
                <w:lang w:val="en-US" w:eastAsia="zh-CN" w:bidi="ar"/>
              </w:rPr>
              <w:t>实验室4</w:t>
            </w:r>
          </w:p>
        </w:tc>
        <w:tc>
          <w:tcPr>
            <w:tcW w:w="401" w:type="pct"/>
            <w:shd w:val="clear" w:color="auto" w:fill="auto"/>
            <w:vAlign w:val="center"/>
          </w:tcPr>
          <w:p w14:paraId="71A1DD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26.9 </w:t>
            </w:r>
          </w:p>
        </w:tc>
        <w:tc>
          <w:tcPr>
            <w:tcW w:w="343" w:type="pct"/>
            <w:shd w:val="clear" w:color="auto" w:fill="auto"/>
            <w:vAlign w:val="center"/>
          </w:tcPr>
          <w:p w14:paraId="7FC3EB9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3.1 </w:t>
            </w:r>
          </w:p>
        </w:tc>
        <w:tc>
          <w:tcPr>
            <w:tcW w:w="401" w:type="pct"/>
            <w:shd w:val="clear" w:color="auto" w:fill="auto"/>
            <w:vAlign w:val="center"/>
          </w:tcPr>
          <w:p w14:paraId="79A698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15.5 </w:t>
            </w:r>
          </w:p>
        </w:tc>
        <w:tc>
          <w:tcPr>
            <w:tcW w:w="401" w:type="pct"/>
            <w:shd w:val="clear" w:color="auto" w:fill="auto"/>
            <w:vAlign w:val="center"/>
          </w:tcPr>
          <w:p w14:paraId="0D1578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25.3 </w:t>
            </w:r>
          </w:p>
        </w:tc>
        <w:tc>
          <w:tcPr>
            <w:tcW w:w="401" w:type="pct"/>
            <w:shd w:val="clear" w:color="auto" w:fill="auto"/>
            <w:vAlign w:val="center"/>
          </w:tcPr>
          <w:p w14:paraId="694531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17.9 </w:t>
            </w:r>
          </w:p>
        </w:tc>
      </w:tr>
      <w:tr w14:paraId="7D789445">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418" w:type="pct"/>
            <w:vMerge w:val="continue"/>
            <w:tcBorders>
              <w:bottom w:val="single" w:color="000000" w:sz="4" w:space="0"/>
            </w:tcBorders>
            <w:shd w:val="clear" w:color="auto" w:fill="auto"/>
            <w:vAlign w:val="center"/>
          </w:tcPr>
          <w:p w14:paraId="6FDE0A79">
            <w:pPr>
              <w:jc w:val="center"/>
              <w:rPr>
                <w:rFonts w:hint="eastAsia" w:ascii="Times New Roman" w:hAnsi="Times New Roman" w:eastAsia="仿宋_GB2312" w:cs="仿宋_GB2312"/>
                <w:i w:val="0"/>
                <w:iCs w:val="0"/>
                <w:color w:val="000000"/>
                <w:sz w:val="18"/>
                <w:szCs w:val="18"/>
                <w:u w:val="none"/>
              </w:rPr>
            </w:pPr>
          </w:p>
        </w:tc>
        <w:tc>
          <w:tcPr>
            <w:tcW w:w="1632" w:type="pct"/>
            <w:gridSpan w:val="2"/>
            <w:tcBorders>
              <w:bottom w:val="single" w:color="000000" w:sz="4" w:space="0"/>
            </w:tcBorders>
            <w:shd w:val="clear" w:color="auto" w:fill="auto"/>
            <w:vAlign w:val="center"/>
          </w:tcPr>
          <w:p w14:paraId="5B3308E1">
            <w:pPr>
              <w:keepNext w:val="0"/>
              <w:keepLines w:val="0"/>
              <w:widowControl/>
              <w:suppressLineNumbers w:val="0"/>
              <w:jc w:val="center"/>
              <w:textAlignment w:val="center"/>
              <w:rPr>
                <w:rFonts w:hint="eastAsia"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平均值</w:t>
            </w:r>
          </w:p>
        </w:tc>
        <w:tc>
          <w:tcPr>
            <w:tcW w:w="401" w:type="pct"/>
            <w:tcBorders>
              <w:bottom w:val="single" w:color="000000" w:sz="4" w:space="0"/>
            </w:tcBorders>
            <w:shd w:val="clear" w:color="auto" w:fill="auto"/>
            <w:vAlign w:val="center"/>
          </w:tcPr>
          <w:p w14:paraId="25B55E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27.0 </w:t>
            </w:r>
          </w:p>
        </w:tc>
        <w:tc>
          <w:tcPr>
            <w:tcW w:w="343" w:type="pct"/>
            <w:tcBorders>
              <w:bottom w:val="single" w:color="000000" w:sz="4" w:space="0"/>
            </w:tcBorders>
            <w:shd w:val="clear" w:color="auto" w:fill="auto"/>
            <w:vAlign w:val="center"/>
          </w:tcPr>
          <w:p w14:paraId="7C62BE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3.4 </w:t>
            </w:r>
          </w:p>
        </w:tc>
        <w:tc>
          <w:tcPr>
            <w:tcW w:w="401" w:type="pct"/>
            <w:tcBorders>
              <w:bottom w:val="single" w:color="000000" w:sz="4" w:space="0"/>
            </w:tcBorders>
            <w:shd w:val="clear" w:color="auto" w:fill="auto"/>
            <w:vAlign w:val="center"/>
          </w:tcPr>
          <w:p w14:paraId="5B2D1E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16.9 </w:t>
            </w:r>
          </w:p>
        </w:tc>
        <w:tc>
          <w:tcPr>
            <w:tcW w:w="401" w:type="pct"/>
            <w:tcBorders>
              <w:bottom w:val="single" w:color="000000" w:sz="4" w:space="0"/>
            </w:tcBorders>
            <w:shd w:val="clear" w:color="auto" w:fill="auto"/>
            <w:vAlign w:val="center"/>
          </w:tcPr>
          <w:p w14:paraId="4D50B7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24.8 </w:t>
            </w:r>
          </w:p>
        </w:tc>
        <w:tc>
          <w:tcPr>
            <w:tcW w:w="401" w:type="pct"/>
            <w:tcBorders>
              <w:bottom w:val="single" w:color="000000" w:sz="4" w:space="0"/>
            </w:tcBorders>
            <w:shd w:val="clear" w:color="auto" w:fill="auto"/>
            <w:vAlign w:val="center"/>
          </w:tcPr>
          <w:p w14:paraId="3A05FA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18.2 </w:t>
            </w:r>
          </w:p>
        </w:tc>
      </w:tr>
      <w:tr w14:paraId="7B0A78FD">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418" w:type="pct"/>
            <w:vMerge w:val="restart"/>
            <w:tcBorders>
              <w:top w:val="single" w:color="000000" w:sz="4" w:space="0"/>
            </w:tcBorders>
            <w:shd w:val="clear" w:color="auto" w:fill="auto"/>
            <w:vAlign w:val="center"/>
          </w:tcPr>
          <w:p w14:paraId="7D560D6D">
            <w:pPr>
              <w:keepNext w:val="0"/>
              <w:keepLines w:val="0"/>
              <w:widowControl/>
              <w:suppressLineNumbers w:val="0"/>
              <w:jc w:val="center"/>
              <w:textAlignment w:val="center"/>
              <w:rPr>
                <w:rFonts w:hint="eastAsia"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进口设备近红外预测值</w:t>
            </w:r>
          </w:p>
        </w:tc>
        <w:tc>
          <w:tcPr>
            <w:tcW w:w="626" w:type="pct"/>
            <w:vMerge w:val="restart"/>
            <w:tcBorders>
              <w:top w:val="single" w:color="000000" w:sz="4" w:space="0"/>
            </w:tcBorders>
            <w:shd w:val="clear" w:color="auto" w:fill="auto"/>
            <w:vAlign w:val="center"/>
          </w:tcPr>
          <w:p w14:paraId="7FC087B3">
            <w:pPr>
              <w:keepNext w:val="0"/>
              <w:keepLines w:val="0"/>
              <w:widowControl/>
              <w:suppressLineNumbers w:val="0"/>
              <w:jc w:val="center"/>
              <w:textAlignment w:val="center"/>
              <w:rPr>
                <w:rFonts w:hint="default" w:ascii="Times New Roman" w:hAnsi="Times New Roman" w:eastAsia="仿宋_GB2312" w:cs="仿宋_GB2312"/>
                <w:i w:val="0"/>
                <w:iCs w:val="0"/>
                <w:color w:val="000000"/>
                <w:sz w:val="18"/>
                <w:szCs w:val="18"/>
                <w:u w:val="none"/>
                <w:lang w:val="en-US"/>
              </w:rPr>
            </w:pPr>
            <w:r>
              <w:rPr>
                <w:rFonts w:hint="eastAsia" w:ascii="Times New Roman" w:hAnsi="Times New Roman" w:eastAsia="仿宋_GB2312" w:cs="仿宋_GB2312"/>
                <w:i w:val="0"/>
                <w:iCs w:val="0"/>
                <w:color w:val="000000"/>
                <w:kern w:val="0"/>
                <w:sz w:val="18"/>
                <w:szCs w:val="18"/>
                <w:u w:val="none"/>
                <w:lang w:val="en-US" w:eastAsia="zh-CN" w:bidi="ar"/>
              </w:rPr>
              <w:t>实验室1</w:t>
            </w:r>
          </w:p>
        </w:tc>
        <w:tc>
          <w:tcPr>
            <w:tcW w:w="1006" w:type="pct"/>
            <w:tcBorders>
              <w:top w:val="single" w:color="000000" w:sz="4" w:space="0"/>
            </w:tcBorders>
            <w:shd w:val="clear" w:color="auto" w:fill="auto"/>
            <w:vAlign w:val="center"/>
          </w:tcPr>
          <w:p w14:paraId="6989B45A">
            <w:pPr>
              <w:keepNext w:val="0"/>
              <w:keepLines w:val="0"/>
              <w:widowControl/>
              <w:suppressLineNumbers w:val="0"/>
              <w:jc w:val="center"/>
              <w:textAlignment w:val="center"/>
              <w:rPr>
                <w:rFonts w:hint="eastAsia"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6次测试平均值</w:t>
            </w:r>
          </w:p>
        </w:tc>
        <w:tc>
          <w:tcPr>
            <w:tcW w:w="401" w:type="pct"/>
            <w:tcBorders>
              <w:top w:val="single" w:color="000000" w:sz="4" w:space="0"/>
            </w:tcBorders>
            <w:shd w:val="clear" w:color="auto" w:fill="auto"/>
            <w:vAlign w:val="center"/>
          </w:tcPr>
          <w:p w14:paraId="50D29CD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25.87 </w:t>
            </w:r>
          </w:p>
        </w:tc>
        <w:tc>
          <w:tcPr>
            <w:tcW w:w="343" w:type="pct"/>
            <w:tcBorders>
              <w:top w:val="single" w:color="000000" w:sz="4" w:space="0"/>
            </w:tcBorders>
            <w:shd w:val="clear" w:color="auto" w:fill="auto"/>
            <w:vAlign w:val="center"/>
          </w:tcPr>
          <w:p w14:paraId="6B9366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3.25 </w:t>
            </w:r>
          </w:p>
        </w:tc>
        <w:tc>
          <w:tcPr>
            <w:tcW w:w="401" w:type="pct"/>
            <w:tcBorders>
              <w:top w:val="single" w:color="000000" w:sz="4" w:space="0"/>
            </w:tcBorders>
            <w:shd w:val="clear" w:color="auto" w:fill="auto"/>
            <w:vAlign w:val="center"/>
          </w:tcPr>
          <w:p w14:paraId="2955B1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17.96 </w:t>
            </w:r>
          </w:p>
        </w:tc>
        <w:tc>
          <w:tcPr>
            <w:tcW w:w="401" w:type="pct"/>
            <w:tcBorders>
              <w:top w:val="single" w:color="000000" w:sz="4" w:space="0"/>
            </w:tcBorders>
            <w:shd w:val="clear" w:color="auto" w:fill="auto"/>
            <w:vAlign w:val="center"/>
          </w:tcPr>
          <w:p w14:paraId="46A7C4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23.84 </w:t>
            </w:r>
          </w:p>
        </w:tc>
        <w:tc>
          <w:tcPr>
            <w:tcW w:w="401" w:type="pct"/>
            <w:tcBorders>
              <w:top w:val="single" w:color="000000" w:sz="4" w:space="0"/>
            </w:tcBorders>
            <w:shd w:val="clear" w:color="auto" w:fill="auto"/>
            <w:vAlign w:val="center"/>
          </w:tcPr>
          <w:p w14:paraId="195F9D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17.23 </w:t>
            </w:r>
          </w:p>
        </w:tc>
      </w:tr>
      <w:tr w14:paraId="042600CA">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418" w:type="pct"/>
            <w:vMerge w:val="continue"/>
            <w:shd w:val="clear" w:color="auto" w:fill="auto"/>
            <w:vAlign w:val="center"/>
          </w:tcPr>
          <w:p w14:paraId="30BB9608">
            <w:pPr>
              <w:jc w:val="center"/>
              <w:rPr>
                <w:rFonts w:hint="eastAsia" w:ascii="Times New Roman" w:hAnsi="Times New Roman" w:eastAsia="仿宋_GB2312" w:cs="仿宋_GB2312"/>
                <w:i w:val="0"/>
                <w:iCs w:val="0"/>
                <w:color w:val="000000"/>
                <w:sz w:val="18"/>
                <w:szCs w:val="18"/>
                <w:u w:val="none"/>
              </w:rPr>
            </w:pPr>
          </w:p>
        </w:tc>
        <w:tc>
          <w:tcPr>
            <w:tcW w:w="626" w:type="pct"/>
            <w:vMerge w:val="continue"/>
            <w:shd w:val="clear" w:color="auto" w:fill="auto"/>
            <w:vAlign w:val="center"/>
          </w:tcPr>
          <w:p w14:paraId="28C27EE2">
            <w:pPr>
              <w:jc w:val="center"/>
              <w:rPr>
                <w:rFonts w:hint="eastAsia" w:ascii="Times New Roman" w:hAnsi="Times New Roman" w:eastAsia="仿宋_GB2312" w:cs="仿宋_GB2312"/>
                <w:i w:val="0"/>
                <w:iCs w:val="0"/>
                <w:color w:val="000000"/>
                <w:sz w:val="18"/>
                <w:szCs w:val="18"/>
                <w:u w:val="none"/>
              </w:rPr>
            </w:pPr>
          </w:p>
        </w:tc>
        <w:tc>
          <w:tcPr>
            <w:tcW w:w="1006" w:type="pct"/>
            <w:shd w:val="clear" w:color="auto" w:fill="auto"/>
            <w:vAlign w:val="center"/>
          </w:tcPr>
          <w:p w14:paraId="5CA90C14">
            <w:pPr>
              <w:keepNext w:val="0"/>
              <w:keepLines w:val="0"/>
              <w:widowControl/>
              <w:suppressLineNumbers w:val="0"/>
              <w:jc w:val="center"/>
              <w:textAlignment w:val="center"/>
              <w:rPr>
                <w:rFonts w:hint="eastAsia"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极差</w:t>
            </w:r>
          </w:p>
        </w:tc>
        <w:tc>
          <w:tcPr>
            <w:tcW w:w="401" w:type="pct"/>
            <w:shd w:val="clear" w:color="auto" w:fill="auto"/>
            <w:vAlign w:val="center"/>
          </w:tcPr>
          <w:p w14:paraId="43EBBC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1.16 </w:t>
            </w:r>
          </w:p>
        </w:tc>
        <w:tc>
          <w:tcPr>
            <w:tcW w:w="343" w:type="pct"/>
            <w:shd w:val="clear" w:color="auto" w:fill="auto"/>
            <w:vAlign w:val="center"/>
          </w:tcPr>
          <w:p w14:paraId="0B96697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0.64 </w:t>
            </w:r>
          </w:p>
        </w:tc>
        <w:tc>
          <w:tcPr>
            <w:tcW w:w="401" w:type="pct"/>
            <w:shd w:val="clear" w:color="auto" w:fill="auto"/>
            <w:vAlign w:val="center"/>
          </w:tcPr>
          <w:p w14:paraId="43344E3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0.78 </w:t>
            </w:r>
          </w:p>
        </w:tc>
        <w:tc>
          <w:tcPr>
            <w:tcW w:w="401" w:type="pct"/>
            <w:shd w:val="clear" w:color="auto" w:fill="auto"/>
            <w:vAlign w:val="center"/>
          </w:tcPr>
          <w:p w14:paraId="0C4B50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0.58 </w:t>
            </w:r>
          </w:p>
        </w:tc>
        <w:tc>
          <w:tcPr>
            <w:tcW w:w="401" w:type="pct"/>
            <w:shd w:val="clear" w:color="auto" w:fill="auto"/>
            <w:vAlign w:val="center"/>
          </w:tcPr>
          <w:p w14:paraId="324A220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0.72 </w:t>
            </w:r>
          </w:p>
        </w:tc>
      </w:tr>
      <w:tr w14:paraId="30426A44">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418" w:type="pct"/>
            <w:vMerge w:val="continue"/>
            <w:shd w:val="clear" w:color="auto" w:fill="auto"/>
            <w:vAlign w:val="center"/>
          </w:tcPr>
          <w:p w14:paraId="67BCDEE6">
            <w:pPr>
              <w:jc w:val="center"/>
              <w:rPr>
                <w:rFonts w:hint="eastAsia" w:ascii="Times New Roman" w:hAnsi="Times New Roman" w:eastAsia="仿宋_GB2312" w:cs="仿宋_GB2312"/>
                <w:i w:val="0"/>
                <w:iCs w:val="0"/>
                <w:color w:val="000000"/>
                <w:sz w:val="18"/>
                <w:szCs w:val="18"/>
                <w:u w:val="none"/>
              </w:rPr>
            </w:pPr>
          </w:p>
        </w:tc>
        <w:tc>
          <w:tcPr>
            <w:tcW w:w="626" w:type="pct"/>
            <w:vMerge w:val="continue"/>
            <w:shd w:val="clear" w:color="auto" w:fill="auto"/>
            <w:vAlign w:val="center"/>
          </w:tcPr>
          <w:p w14:paraId="45686B16">
            <w:pPr>
              <w:jc w:val="center"/>
              <w:rPr>
                <w:rFonts w:hint="eastAsia" w:ascii="Times New Roman" w:hAnsi="Times New Roman" w:eastAsia="仿宋_GB2312" w:cs="仿宋_GB2312"/>
                <w:i w:val="0"/>
                <w:iCs w:val="0"/>
                <w:color w:val="000000"/>
                <w:sz w:val="18"/>
                <w:szCs w:val="18"/>
                <w:u w:val="none"/>
              </w:rPr>
            </w:pPr>
          </w:p>
        </w:tc>
        <w:tc>
          <w:tcPr>
            <w:tcW w:w="1006" w:type="pct"/>
            <w:shd w:val="clear" w:color="auto" w:fill="auto"/>
            <w:vAlign w:val="center"/>
          </w:tcPr>
          <w:p w14:paraId="3A22D62A">
            <w:pPr>
              <w:keepNext w:val="0"/>
              <w:keepLines w:val="0"/>
              <w:widowControl/>
              <w:suppressLineNumbers w:val="0"/>
              <w:jc w:val="center"/>
              <w:textAlignment w:val="center"/>
              <w:rPr>
                <w:rFonts w:hint="eastAsia"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标准偏差</w:t>
            </w:r>
            <w:r>
              <w:rPr>
                <w:rFonts w:hint="eastAsia" w:ascii="Times New Roman" w:hAnsi="Times New Roman"/>
                <w:i/>
                <w:iCs/>
                <w:sz w:val="18"/>
                <w:szCs w:val="18"/>
                <w:lang w:val="en-US" w:eastAsia="zh-CN"/>
              </w:rPr>
              <w:t>S</w:t>
            </w:r>
            <w:r>
              <w:rPr>
                <w:rFonts w:hint="eastAsia" w:ascii="Times New Roman" w:hAnsi="Times New Roman"/>
                <w:i/>
                <w:iCs/>
                <w:sz w:val="18"/>
                <w:szCs w:val="18"/>
                <w:vertAlign w:val="subscript"/>
                <w:lang w:val="en-US" w:eastAsia="zh-CN"/>
              </w:rPr>
              <w:t>r</w:t>
            </w:r>
          </w:p>
        </w:tc>
        <w:tc>
          <w:tcPr>
            <w:tcW w:w="401" w:type="pct"/>
            <w:shd w:val="clear" w:color="auto" w:fill="auto"/>
            <w:vAlign w:val="center"/>
          </w:tcPr>
          <w:p w14:paraId="56E610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0.40 </w:t>
            </w:r>
          </w:p>
        </w:tc>
        <w:tc>
          <w:tcPr>
            <w:tcW w:w="343" w:type="pct"/>
            <w:shd w:val="clear" w:color="auto" w:fill="auto"/>
            <w:vAlign w:val="center"/>
          </w:tcPr>
          <w:p w14:paraId="33DBFA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0.27 </w:t>
            </w:r>
          </w:p>
        </w:tc>
        <w:tc>
          <w:tcPr>
            <w:tcW w:w="401" w:type="pct"/>
            <w:shd w:val="clear" w:color="auto" w:fill="auto"/>
            <w:vAlign w:val="center"/>
          </w:tcPr>
          <w:p w14:paraId="7E78F0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0.29 </w:t>
            </w:r>
          </w:p>
        </w:tc>
        <w:tc>
          <w:tcPr>
            <w:tcW w:w="401" w:type="pct"/>
            <w:shd w:val="clear" w:color="auto" w:fill="auto"/>
            <w:vAlign w:val="center"/>
          </w:tcPr>
          <w:p w14:paraId="5BD70A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0.23 </w:t>
            </w:r>
          </w:p>
        </w:tc>
        <w:tc>
          <w:tcPr>
            <w:tcW w:w="401" w:type="pct"/>
            <w:shd w:val="clear" w:color="auto" w:fill="auto"/>
            <w:vAlign w:val="center"/>
          </w:tcPr>
          <w:p w14:paraId="53C1D58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0.30 </w:t>
            </w:r>
          </w:p>
        </w:tc>
      </w:tr>
      <w:tr w14:paraId="2377966C">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418" w:type="pct"/>
            <w:vMerge w:val="continue"/>
            <w:shd w:val="clear" w:color="auto" w:fill="auto"/>
            <w:vAlign w:val="center"/>
          </w:tcPr>
          <w:p w14:paraId="0D354CE2">
            <w:pPr>
              <w:jc w:val="center"/>
              <w:rPr>
                <w:rFonts w:hint="eastAsia" w:ascii="Times New Roman" w:hAnsi="Times New Roman" w:eastAsia="仿宋_GB2312" w:cs="仿宋_GB2312"/>
                <w:i w:val="0"/>
                <w:iCs w:val="0"/>
                <w:color w:val="000000"/>
                <w:sz w:val="18"/>
                <w:szCs w:val="18"/>
                <w:u w:val="none"/>
              </w:rPr>
            </w:pPr>
          </w:p>
        </w:tc>
        <w:tc>
          <w:tcPr>
            <w:tcW w:w="626" w:type="pct"/>
            <w:vMerge w:val="restart"/>
            <w:shd w:val="clear" w:color="auto" w:fill="auto"/>
            <w:vAlign w:val="center"/>
          </w:tcPr>
          <w:p w14:paraId="3BA46E59">
            <w:pPr>
              <w:keepNext w:val="0"/>
              <w:keepLines w:val="0"/>
              <w:widowControl/>
              <w:suppressLineNumbers w:val="0"/>
              <w:jc w:val="center"/>
              <w:textAlignment w:val="center"/>
              <w:rPr>
                <w:rFonts w:hint="default" w:ascii="Times New Roman" w:hAnsi="Times New Roman" w:eastAsia="仿宋_GB2312" w:cs="仿宋_GB2312"/>
                <w:i w:val="0"/>
                <w:iCs w:val="0"/>
                <w:color w:val="000000"/>
                <w:sz w:val="18"/>
                <w:szCs w:val="18"/>
                <w:u w:val="none"/>
                <w:lang w:val="en-US"/>
              </w:rPr>
            </w:pPr>
            <w:r>
              <w:rPr>
                <w:rFonts w:hint="eastAsia" w:ascii="Times New Roman" w:hAnsi="Times New Roman" w:eastAsia="仿宋_GB2312" w:cs="仿宋_GB2312"/>
                <w:i w:val="0"/>
                <w:iCs w:val="0"/>
                <w:color w:val="000000"/>
                <w:kern w:val="0"/>
                <w:sz w:val="18"/>
                <w:szCs w:val="18"/>
                <w:u w:val="none"/>
                <w:lang w:val="en-US" w:eastAsia="zh-CN" w:bidi="ar"/>
              </w:rPr>
              <w:t>实验室2</w:t>
            </w:r>
          </w:p>
        </w:tc>
        <w:tc>
          <w:tcPr>
            <w:tcW w:w="1006" w:type="pct"/>
            <w:shd w:val="clear" w:color="auto" w:fill="auto"/>
            <w:vAlign w:val="center"/>
          </w:tcPr>
          <w:p w14:paraId="1CAB7310">
            <w:pPr>
              <w:keepNext w:val="0"/>
              <w:keepLines w:val="0"/>
              <w:widowControl/>
              <w:suppressLineNumbers w:val="0"/>
              <w:jc w:val="center"/>
              <w:textAlignment w:val="center"/>
              <w:rPr>
                <w:rFonts w:hint="eastAsia"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6次测试平均值</w:t>
            </w:r>
          </w:p>
        </w:tc>
        <w:tc>
          <w:tcPr>
            <w:tcW w:w="401" w:type="pct"/>
            <w:shd w:val="clear" w:color="auto" w:fill="auto"/>
            <w:vAlign w:val="center"/>
          </w:tcPr>
          <w:p w14:paraId="6D51F1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25.88 </w:t>
            </w:r>
          </w:p>
        </w:tc>
        <w:tc>
          <w:tcPr>
            <w:tcW w:w="343" w:type="pct"/>
            <w:shd w:val="clear" w:color="auto" w:fill="auto"/>
            <w:vAlign w:val="center"/>
          </w:tcPr>
          <w:p w14:paraId="63BD32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3.11 </w:t>
            </w:r>
          </w:p>
        </w:tc>
        <w:tc>
          <w:tcPr>
            <w:tcW w:w="401" w:type="pct"/>
            <w:shd w:val="clear" w:color="auto" w:fill="auto"/>
            <w:vAlign w:val="center"/>
          </w:tcPr>
          <w:p w14:paraId="6A439C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18.08 </w:t>
            </w:r>
          </w:p>
        </w:tc>
        <w:tc>
          <w:tcPr>
            <w:tcW w:w="401" w:type="pct"/>
            <w:shd w:val="clear" w:color="auto" w:fill="auto"/>
            <w:vAlign w:val="center"/>
          </w:tcPr>
          <w:p w14:paraId="1DE17E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23.90 </w:t>
            </w:r>
          </w:p>
        </w:tc>
        <w:tc>
          <w:tcPr>
            <w:tcW w:w="401" w:type="pct"/>
            <w:shd w:val="clear" w:color="auto" w:fill="auto"/>
            <w:vAlign w:val="center"/>
          </w:tcPr>
          <w:p w14:paraId="31CDAC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17.01 </w:t>
            </w:r>
          </w:p>
        </w:tc>
      </w:tr>
      <w:tr w14:paraId="2FFAC987">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418" w:type="pct"/>
            <w:vMerge w:val="continue"/>
            <w:shd w:val="clear" w:color="auto" w:fill="auto"/>
            <w:vAlign w:val="center"/>
          </w:tcPr>
          <w:p w14:paraId="591CD4CE">
            <w:pPr>
              <w:jc w:val="center"/>
              <w:rPr>
                <w:rFonts w:hint="eastAsia" w:ascii="Times New Roman" w:hAnsi="Times New Roman" w:eastAsia="仿宋_GB2312" w:cs="仿宋_GB2312"/>
                <w:i w:val="0"/>
                <w:iCs w:val="0"/>
                <w:color w:val="000000"/>
                <w:sz w:val="18"/>
                <w:szCs w:val="18"/>
                <w:u w:val="none"/>
              </w:rPr>
            </w:pPr>
          </w:p>
        </w:tc>
        <w:tc>
          <w:tcPr>
            <w:tcW w:w="626" w:type="pct"/>
            <w:vMerge w:val="continue"/>
            <w:shd w:val="clear" w:color="auto" w:fill="auto"/>
            <w:vAlign w:val="center"/>
          </w:tcPr>
          <w:p w14:paraId="4545E1F4">
            <w:pPr>
              <w:jc w:val="center"/>
              <w:rPr>
                <w:rFonts w:hint="eastAsia" w:ascii="Times New Roman" w:hAnsi="Times New Roman" w:eastAsia="仿宋_GB2312" w:cs="仿宋_GB2312"/>
                <w:i w:val="0"/>
                <w:iCs w:val="0"/>
                <w:color w:val="000000"/>
                <w:sz w:val="18"/>
                <w:szCs w:val="18"/>
                <w:u w:val="none"/>
              </w:rPr>
            </w:pPr>
          </w:p>
        </w:tc>
        <w:tc>
          <w:tcPr>
            <w:tcW w:w="1006" w:type="pct"/>
            <w:shd w:val="clear" w:color="auto" w:fill="auto"/>
            <w:vAlign w:val="center"/>
          </w:tcPr>
          <w:p w14:paraId="46FBA138">
            <w:pPr>
              <w:keepNext w:val="0"/>
              <w:keepLines w:val="0"/>
              <w:widowControl/>
              <w:suppressLineNumbers w:val="0"/>
              <w:jc w:val="center"/>
              <w:textAlignment w:val="center"/>
              <w:rPr>
                <w:rFonts w:hint="eastAsia"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极差</w:t>
            </w:r>
          </w:p>
        </w:tc>
        <w:tc>
          <w:tcPr>
            <w:tcW w:w="401" w:type="pct"/>
            <w:shd w:val="clear" w:color="auto" w:fill="auto"/>
            <w:vAlign w:val="center"/>
          </w:tcPr>
          <w:p w14:paraId="60CD5B0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0.74 </w:t>
            </w:r>
          </w:p>
        </w:tc>
        <w:tc>
          <w:tcPr>
            <w:tcW w:w="343" w:type="pct"/>
            <w:shd w:val="clear" w:color="auto" w:fill="auto"/>
            <w:vAlign w:val="center"/>
          </w:tcPr>
          <w:p w14:paraId="492F4A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0.43 </w:t>
            </w:r>
          </w:p>
        </w:tc>
        <w:tc>
          <w:tcPr>
            <w:tcW w:w="401" w:type="pct"/>
            <w:shd w:val="clear" w:color="auto" w:fill="auto"/>
            <w:vAlign w:val="center"/>
          </w:tcPr>
          <w:p w14:paraId="12ADB5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0.60 </w:t>
            </w:r>
          </w:p>
        </w:tc>
        <w:tc>
          <w:tcPr>
            <w:tcW w:w="401" w:type="pct"/>
            <w:shd w:val="clear" w:color="auto" w:fill="auto"/>
            <w:vAlign w:val="center"/>
          </w:tcPr>
          <w:p w14:paraId="4BC4AD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0.68 </w:t>
            </w:r>
          </w:p>
        </w:tc>
        <w:tc>
          <w:tcPr>
            <w:tcW w:w="401" w:type="pct"/>
            <w:shd w:val="clear" w:color="auto" w:fill="auto"/>
            <w:vAlign w:val="center"/>
          </w:tcPr>
          <w:p w14:paraId="7A1B44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0.46 </w:t>
            </w:r>
          </w:p>
        </w:tc>
      </w:tr>
      <w:tr w14:paraId="654FBCD3">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418" w:type="pct"/>
            <w:vMerge w:val="continue"/>
            <w:shd w:val="clear" w:color="auto" w:fill="auto"/>
            <w:vAlign w:val="center"/>
          </w:tcPr>
          <w:p w14:paraId="27F6C0C0">
            <w:pPr>
              <w:jc w:val="center"/>
              <w:rPr>
                <w:rFonts w:hint="eastAsia" w:ascii="Times New Roman" w:hAnsi="Times New Roman" w:eastAsia="仿宋_GB2312" w:cs="仿宋_GB2312"/>
                <w:i w:val="0"/>
                <w:iCs w:val="0"/>
                <w:color w:val="000000"/>
                <w:sz w:val="18"/>
                <w:szCs w:val="18"/>
                <w:u w:val="none"/>
              </w:rPr>
            </w:pPr>
          </w:p>
        </w:tc>
        <w:tc>
          <w:tcPr>
            <w:tcW w:w="626" w:type="pct"/>
            <w:vMerge w:val="continue"/>
            <w:shd w:val="clear" w:color="auto" w:fill="auto"/>
            <w:vAlign w:val="center"/>
          </w:tcPr>
          <w:p w14:paraId="2F485994">
            <w:pPr>
              <w:jc w:val="center"/>
              <w:rPr>
                <w:rFonts w:hint="eastAsia" w:ascii="Times New Roman" w:hAnsi="Times New Roman" w:eastAsia="仿宋_GB2312" w:cs="仿宋_GB2312"/>
                <w:i w:val="0"/>
                <w:iCs w:val="0"/>
                <w:color w:val="000000"/>
                <w:sz w:val="18"/>
                <w:szCs w:val="18"/>
                <w:u w:val="none"/>
              </w:rPr>
            </w:pPr>
          </w:p>
        </w:tc>
        <w:tc>
          <w:tcPr>
            <w:tcW w:w="1006" w:type="pct"/>
            <w:shd w:val="clear" w:color="auto" w:fill="auto"/>
            <w:vAlign w:val="center"/>
          </w:tcPr>
          <w:p w14:paraId="450C2DCF">
            <w:pPr>
              <w:keepNext w:val="0"/>
              <w:keepLines w:val="0"/>
              <w:widowControl/>
              <w:suppressLineNumbers w:val="0"/>
              <w:jc w:val="center"/>
              <w:textAlignment w:val="center"/>
              <w:rPr>
                <w:rFonts w:hint="eastAsia"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标准偏差</w:t>
            </w:r>
            <w:r>
              <w:rPr>
                <w:rFonts w:hint="eastAsia" w:ascii="Times New Roman" w:hAnsi="Times New Roman"/>
                <w:i/>
                <w:iCs/>
                <w:sz w:val="18"/>
                <w:szCs w:val="18"/>
                <w:lang w:val="en-US" w:eastAsia="zh-CN"/>
              </w:rPr>
              <w:t>S</w:t>
            </w:r>
            <w:r>
              <w:rPr>
                <w:rFonts w:hint="eastAsia" w:ascii="Times New Roman" w:hAnsi="Times New Roman"/>
                <w:i/>
                <w:iCs/>
                <w:sz w:val="18"/>
                <w:szCs w:val="18"/>
                <w:vertAlign w:val="subscript"/>
                <w:lang w:val="en-US" w:eastAsia="zh-CN"/>
              </w:rPr>
              <w:t>r</w:t>
            </w:r>
          </w:p>
        </w:tc>
        <w:tc>
          <w:tcPr>
            <w:tcW w:w="401" w:type="pct"/>
            <w:shd w:val="clear" w:color="auto" w:fill="auto"/>
            <w:vAlign w:val="center"/>
          </w:tcPr>
          <w:p w14:paraId="21079B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0.31 </w:t>
            </w:r>
          </w:p>
        </w:tc>
        <w:tc>
          <w:tcPr>
            <w:tcW w:w="343" w:type="pct"/>
            <w:shd w:val="clear" w:color="auto" w:fill="auto"/>
            <w:vAlign w:val="center"/>
          </w:tcPr>
          <w:p w14:paraId="07F736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0.19 </w:t>
            </w:r>
          </w:p>
        </w:tc>
        <w:tc>
          <w:tcPr>
            <w:tcW w:w="401" w:type="pct"/>
            <w:shd w:val="clear" w:color="auto" w:fill="auto"/>
            <w:vAlign w:val="center"/>
          </w:tcPr>
          <w:p w14:paraId="3BFF04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0.22 </w:t>
            </w:r>
          </w:p>
        </w:tc>
        <w:tc>
          <w:tcPr>
            <w:tcW w:w="401" w:type="pct"/>
            <w:shd w:val="clear" w:color="auto" w:fill="auto"/>
            <w:vAlign w:val="center"/>
          </w:tcPr>
          <w:p w14:paraId="42DE15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0.27 </w:t>
            </w:r>
          </w:p>
        </w:tc>
        <w:tc>
          <w:tcPr>
            <w:tcW w:w="401" w:type="pct"/>
            <w:shd w:val="clear" w:color="auto" w:fill="auto"/>
            <w:vAlign w:val="center"/>
          </w:tcPr>
          <w:p w14:paraId="2AAEF0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0.17 </w:t>
            </w:r>
          </w:p>
        </w:tc>
      </w:tr>
      <w:tr w14:paraId="4AFA4341">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418" w:type="pct"/>
            <w:vMerge w:val="continue"/>
            <w:shd w:val="clear" w:color="auto" w:fill="auto"/>
            <w:vAlign w:val="center"/>
          </w:tcPr>
          <w:p w14:paraId="3AD659E6">
            <w:pPr>
              <w:jc w:val="center"/>
              <w:rPr>
                <w:rFonts w:hint="eastAsia" w:ascii="Times New Roman" w:hAnsi="Times New Roman" w:eastAsia="仿宋_GB2312" w:cs="仿宋_GB2312"/>
                <w:i w:val="0"/>
                <w:iCs w:val="0"/>
                <w:color w:val="000000"/>
                <w:sz w:val="18"/>
                <w:szCs w:val="18"/>
                <w:u w:val="none"/>
              </w:rPr>
            </w:pPr>
          </w:p>
        </w:tc>
        <w:tc>
          <w:tcPr>
            <w:tcW w:w="626" w:type="pct"/>
            <w:vMerge w:val="restart"/>
            <w:shd w:val="clear" w:color="auto" w:fill="auto"/>
            <w:vAlign w:val="center"/>
          </w:tcPr>
          <w:p w14:paraId="4BAC4CEE">
            <w:pPr>
              <w:keepNext w:val="0"/>
              <w:keepLines w:val="0"/>
              <w:widowControl/>
              <w:suppressLineNumbers w:val="0"/>
              <w:jc w:val="center"/>
              <w:textAlignment w:val="center"/>
              <w:rPr>
                <w:rFonts w:hint="default" w:ascii="Times New Roman" w:hAnsi="Times New Roman" w:eastAsia="仿宋_GB2312" w:cs="仿宋_GB2312"/>
                <w:i w:val="0"/>
                <w:iCs w:val="0"/>
                <w:color w:val="000000"/>
                <w:sz w:val="18"/>
                <w:szCs w:val="18"/>
                <w:u w:val="none"/>
                <w:lang w:val="en-US"/>
              </w:rPr>
            </w:pPr>
            <w:r>
              <w:rPr>
                <w:rFonts w:hint="eastAsia" w:ascii="Times New Roman" w:hAnsi="Times New Roman" w:eastAsia="仿宋_GB2312" w:cs="仿宋_GB2312"/>
                <w:i w:val="0"/>
                <w:iCs w:val="0"/>
                <w:color w:val="000000"/>
                <w:kern w:val="0"/>
                <w:sz w:val="18"/>
                <w:szCs w:val="18"/>
                <w:u w:val="none"/>
                <w:lang w:val="en-US" w:eastAsia="zh-CN" w:bidi="ar"/>
              </w:rPr>
              <w:t>实验室3</w:t>
            </w:r>
          </w:p>
        </w:tc>
        <w:tc>
          <w:tcPr>
            <w:tcW w:w="1006" w:type="pct"/>
            <w:shd w:val="clear" w:color="auto" w:fill="auto"/>
            <w:vAlign w:val="center"/>
          </w:tcPr>
          <w:p w14:paraId="1DED86F0">
            <w:pPr>
              <w:keepNext w:val="0"/>
              <w:keepLines w:val="0"/>
              <w:widowControl/>
              <w:suppressLineNumbers w:val="0"/>
              <w:jc w:val="center"/>
              <w:textAlignment w:val="center"/>
              <w:rPr>
                <w:rFonts w:hint="eastAsia"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6次测试平均值</w:t>
            </w:r>
          </w:p>
        </w:tc>
        <w:tc>
          <w:tcPr>
            <w:tcW w:w="401" w:type="pct"/>
            <w:shd w:val="clear" w:color="auto" w:fill="auto"/>
            <w:vAlign w:val="center"/>
          </w:tcPr>
          <w:p w14:paraId="1D5BED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26.02 </w:t>
            </w:r>
          </w:p>
        </w:tc>
        <w:tc>
          <w:tcPr>
            <w:tcW w:w="343" w:type="pct"/>
            <w:shd w:val="clear" w:color="auto" w:fill="auto"/>
            <w:vAlign w:val="center"/>
          </w:tcPr>
          <w:p w14:paraId="0345C1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3.23 </w:t>
            </w:r>
          </w:p>
        </w:tc>
        <w:tc>
          <w:tcPr>
            <w:tcW w:w="401" w:type="pct"/>
            <w:shd w:val="clear" w:color="auto" w:fill="auto"/>
            <w:vAlign w:val="center"/>
          </w:tcPr>
          <w:p w14:paraId="11B054B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17.94 </w:t>
            </w:r>
          </w:p>
        </w:tc>
        <w:tc>
          <w:tcPr>
            <w:tcW w:w="401" w:type="pct"/>
            <w:shd w:val="clear" w:color="auto" w:fill="auto"/>
            <w:vAlign w:val="center"/>
          </w:tcPr>
          <w:p w14:paraId="4D1914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24.07 </w:t>
            </w:r>
          </w:p>
        </w:tc>
        <w:tc>
          <w:tcPr>
            <w:tcW w:w="401" w:type="pct"/>
            <w:shd w:val="clear" w:color="auto" w:fill="auto"/>
            <w:vAlign w:val="center"/>
          </w:tcPr>
          <w:p w14:paraId="3C696E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17.05 </w:t>
            </w:r>
          </w:p>
        </w:tc>
      </w:tr>
      <w:tr w14:paraId="44303FA6">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418" w:type="pct"/>
            <w:vMerge w:val="continue"/>
            <w:shd w:val="clear" w:color="auto" w:fill="auto"/>
            <w:vAlign w:val="center"/>
          </w:tcPr>
          <w:p w14:paraId="0C32FEE4">
            <w:pPr>
              <w:jc w:val="center"/>
              <w:rPr>
                <w:rFonts w:hint="eastAsia" w:ascii="Times New Roman" w:hAnsi="Times New Roman" w:eastAsia="仿宋_GB2312" w:cs="仿宋_GB2312"/>
                <w:i w:val="0"/>
                <w:iCs w:val="0"/>
                <w:color w:val="000000"/>
                <w:sz w:val="18"/>
                <w:szCs w:val="18"/>
                <w:u w:val="none"/>
              </w:rPr>
            </w:pPr>
          </w:p>
        </w:tc>
        <w:tc>
          <w:tcPr>
            <w:tcW w:w="626" w:type="pct"/>
            <w:vMerge w:val="continue"/>
            <w:shd w:val="clear" w:color="auto" w:fill="auto"/>
            <w:vAlign w:val="center"/>
          </w:tcPr>
          <w:p w14:paraId="30AF23A9">
            <w:pPr>
              <w:jc w:val="center"/>
              <w:rPr>
                <w:rFonts w:hint="eastAsia" w:ascii="Times New Roman" w:hAnsi="Times New Roman" w:eastAsia="仿宋_GB2312" w:cs="仿宋_GB2312"/>
                <w:i w:val="0"/>
                <w:iCs w:val="0"/>
                <w:color w:val="000000"/>
                <w:sz w:val="18"/>
                <w:szCs w:val="18"/>
                <w:u w:val="none"/>
              </w:rPr>
            </w:pPr>
          </w:p>
        </w:tc>
        <w:tc>
          <w:tcPr>
            <w:tcW w:w="1006" w:type="pct"/>
            <w:shd w:val="clear" w:color="auto" w:fill="auto"/>
            <w:vAlign w:val="center"/>
          </w:tcPr>
          <w:p w14:paraId="12D95481">
            <w:pPr>
              <w:keepNext w:val="0"/>
              <w:keepLines w:val="0"/>
              <w:widowControl/>
              <w:suppressLineNumbers w:val="0"/>
              <w:jc w:val="center"/>
              <w:textAlignment w:val="center"/>
              <w:rPr>
                <w:rFonts w:hint="eastAsia"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极差</w:t>
            </w:r>
          </w:p>
        </w:tc>
        <w:tc>
          <w:tcPr>
            <w:tcW w:w="401" w:type="pct"/>
            <w:shd w:val="clear" w:color="auto" w:fill="auto"/>
            <w:vAlign w:val="center"/>
          </w:tcPr>
          <w:p w14:paraId="4AC965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0.65 </w:t>
            </w:r>
          </w:p>
        </w:tc>
        <w:tc>
          <w:tcPr>
            <w:tcW w:w="343" w:type="pct"/>
            <w:shd w:val="clear" w:color="auto" w:fill="auto"/>
            <w:vAlign w:val="center"/>
          </w:tcPr>
          <w:p w14:paraId="2B971EE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0.54 </w:t>
            </w:r>
          </w:p>
        </w:tc>
        <w:tc>
          <w:tcPr>
            <w:tcW w:w="401" w:type="pct"/>
            <w:shd w:val="clear" w:color="auto" w:fill="auto"/>
            <w:vAlign w:val="center"/>
          </w:tcPr>
          <w:p w14:paraId="72E23D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0.52 </w:t>
            </w:r>
          </w:p>
        </w:tc>
        <w:tc>
          <w:tcPr>
            <w:tcW w:w="401" w:type="pct"/>
            <w:shd w:val="clear" w:color="auto" w:fill="auto"/>
            <w:vAlign w:val="center"/>
          </w:tcPr>
          <w:p w14:paraId="0DE455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0.62 </w:t>
            </w:r>
          </w:p>
        </w:tc>
        <w:tc>
          <w:tcPr>
            <w:tcW w:w="401" w:type="pct"/>
            <w:shd w:val="clear" w:color="auto" w:fill="auto"/>
            <w:vAlign w:val="center"/>
          </w:tcPr>
          <w:p w14:paraId="6C89ED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0.76 </w:t>
            </w:r>
          </w:p>
        </w:tc>
      </w:tr>
      <w:tr w14:paraId="2D719E71">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418" w:type="pct"/>
            <w:vMerge w:val="continue"/>
            <w:shd w:val="clear" w:color="auto" w:fill="auto"/>
            <w:vAlign w:val="center"/>
          </w:tcPr>
          <w:p w14:paraId="5A98A024">
            <w:pPr>
              <w:jc w:val="center"/>
              <w:rPr>
                <w:rFonts w:hint="eastAsia" w:ascii="Times New Roman" w:hAnsi="Times New Roman" w:eastAsia="仿宋_GB2312" w:cs="仿宋_GB2312"/>
                <w:i w:val="0"/>
                <w:iCs w:val="0"/>
                <w:color w:val="000000"/>
                <w:sz w:val="18"/>
                <w:szCs w:val="18"/>
                <w:u w:val="none"/>
              </w:rPr>
            </w:pPr>
          </w:p>
        </w:tc>
        <w:tc>
          <w:tcPr>
            <w:tcW w:w="626" w:type="pct"/>
            <w:vMerge w:val="continue"/>
            <w:shd w:val="clear" w:color="auto" w:fill="auto"/>
            <w:vAlign w:val="center"/>
          </w:tcPr>
          <w:p w14:paraId="7680DC62">
            <w:pPr>
              <w:jc w:val="center"/>
              <w:rPr>
                <w:rFonts w:hint="eastAsia" w:ascii="Times New Roman" w:hAnsi="Times New Roman" w:eastAsia="仿宋_GB2312" w:cs="仿宋_GB2312"/>
                <w:i w:val="0"/>
                <w:iCs w:val="0"/>
                <w:color w:val="000000"/>
                <w:sz w:val="18"/>
                <w:szCs w:val="18"/>
                <w:u w:val="none"/>
              </w:rPr>
            </w:pPr>
          </w:p>
        </w:tc>
        <w:tc>
          <w:tcPr>
            <w:tcW w:w="1006" w:type="pct"/>
            <w:shd w:val="clear" w:color="auto" w:fill="auto"/>
            <w:vAlign w:val="center"/>
          </w:tcPr>
          <w:p w14:paraId="10FE9E53">
            <w:pPr>
              <w:keepNext w:val="0"/>
              <w:keepLines w:val="0"/>
              <w:widowControl/>
              <w:suppressLineNumbers w:val="0"/>
              <w:jc w:val="center"/>
              <w:textAlignment w:val="center"/>
              <w:rPr>
                <w:rFonts w:hint="eastAsia"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标准偏差</w:t>
            </w:r>
            <w:r>
              <w:rPr>
                <w:rFonts w:hint="eastAsia" w:ascii="Times New Roman" w:hAnsi="Times New Roman"/>
                <w:i/>
                <w:iCs/>
                <w:sz w:val="18"/>
                <w:szCs w:val="18"/>
                <w:lang w:val="en-US" w:eastAsia="zh-CN"/>
              </w:rPr>
              <w:t>S</w:t>
            </w:r>
            <w:r>
              <w:rPr>
                <w:rFonts w:hint="eastAsia" w:ascii="Times New Roman" w:hAnsi="Times New Roman"/>
                <w:i/>
                <w:iCs/>
                <w:sz w:val="18"/>
                <w:szCs w:val="18"/>
                <w:vertAlign w:val="subscript"/>
                <w:lang w:val="en-US" w:eastAsia="zh-CN"/>
              </w:rPr>
              <w:t>r</w:t>
            </w:r>
          </w:p>
        </w:tc>
        <w:tc>
          <w:tcPr>
            <w:tcW w:w="401" w:type="pct"/>
            <w:shd w:val="clear" w:color="auto" w:fill="auto"/>
            <w:vAlign w:val="center"/>
          </w:tcPr>
          <w:p w14:paraId="32E77F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0.23 </w:t>
            </w:r>
          </w:p>
        </w:tc>
        <w:tc>
          <w:tcPr>
            <w:tcW w:w="343" w:type="pct"/>
            <w:shd w:val="clear" w:color="auto" w:fill="auto"/>
            <w:vAlign w:val="center"/>
          </w:tcPr>
          <w:p w14:paraId="4A90193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0.25 </w:t>
            </w:r>
          </w:p>
        </w:tc>
        <w:tc>
          <w:tcPr>
            <w:tcW w:w="401" w:type="pct"/>
            <w:shd w:val="clear" w:color="auto" w:fill="auto"/>
            <w:vAlign w:val="center"/>
          </w:tcPr>
          <w:p w14:paraId="64B018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0.20 </w:t>
            </w:r>
          </w:p>
        </w:tc>
        <w:tc>
          <w:tcPr>
            <w:tcW w:w="401" w:type="pct"/>
            <w:shd w:val="clear" w:color="auto" w:fill="auto"/>
            <w:vAlign w:val="center"/>
          </w:tcPr>
          <w:p w14:paraId="2B3379E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0.24 </w:t>
            </w:r>
          </w:p>
        </w:tc>
        <w:tc>
          <w:tcPr>
            <w:tcW w:w="401" w:type="pct"/>
            <w:shd w:val="clear" w:color="auto" w:fill="auto"/>
            <w:vAlign w:val="center"/>
          </w:tcPr>
          <w:p w14:paraId="45E4C4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0.30 </w:t>
            </w:r>
          </w:p>
        </w:tc>
      </w:tr>
      <w:tr w14:paraId="5B8D70DB">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418" w:type="pct"/>
            <w:vMerge w:val="continue"/>
            <w:shd w:val="clear" w:color="auto" w:fill="auto"/>
            <w:vAlign w:val="center"/>
          </w:tcPr>
          <w:p w14:paraId="5D814C6E">
            <w:pPr>
              <w:jc w:val="center"/>
              <w:rPr>
                <w:rFonts w:hint="eastAsia" w:ascii="Times New Roman" w:hAnsi="Times New Roman" w:eastAsia="仿宋_GB2312" w:cs="仿宋_GB2312"/>
                <w:i w:val="0"/>
                <w:iCs w:val="0"/>
                <w:color w:val="000000"/>
                <w:sz w:val="18"/>
                <w:szCs w:val="18"/>
                <w:u w:val="none"/>
              </w:rPr>
            </w:pPr>
          </w:p>
        </w:tc>
        <w:tc>
          <w:tcPr>
            <w:tcW w:w="626" w:type="pct"/>
            <w:vMerge w:val="restart"/>
            <w:shd w:val="clear" w:color="auto" w:fill="auto"/>
            <w:vAlign w:val="center"/>
          </w:tcPr>
          <w:p w14:paraId="3A56CEAF">
            <w:pPr>
              <w:keepNext w:val="0"/>
              <w:keepLines w:val="0"/>
              <w:widowControl/>
              <w:suppressLineNumbers w:val="0"/>
              <w:jc w:val="center"/>
              <w:textAlignment w:val="center"/>
              <w:rPr>
                <w:rFonts w:hint="default" w:ascii="Times New Roman" w:hAnsi="Times New Roman" w:eastAsia="仿宋_GB2312" w:cs="仿宋_GB2312"/>
                <w:i w:val="0"/>
                <w:iCs w:val="0"/>
                <w:color w:val="000000"/>
                <w:sz w:val="18"/>
                <w:szCs w:val="18"/>
                <w:u w:val="none"/>
                <w:lang w:val="en-US"/>
              </w:rPr>
            </w:pPr>
            <w:r>
              <w:rPr>
                <w:rFonts w:hint="eastAsia" w:ascii="Times New Roman" w:hAnsi="Times New Roman" w:eastAsia="仿宋_GB2312" w:cs="仿宋_GB2312"/>
                <w:i w:val="0"/>
                <w:iCs w:val="0"/>
                <w:color w:val="000000"/>
                <w:kern w:val="0"/>
                <w:sz w:val="18"/>
                <w:szCs w:val="18"/>
                <w:u w:val="none"/>
                <w:lang w:val="en-US" w:eastAsia="zh-CN" w:bidi="ar"/>
              </w:rPr>
              <w:t>实验室4</w:t>
            </w:r>
          </w:p>
        </w:tc>
        <w:tc>
          <w:tcPr>
            <w:tcW w:w="1006" w:type="pct"/>
            <w:shd w:val="clear" w:color="auto" w:fill="auto"/>
            <w:vAlign w:val="center"/>
          </w:tcPr>
          <w:p w14:paraId="1D97927E">
            <w:pPr>
              <w:keepNext w:val="0"/>
              <w:keepLines w:val="0"/>
              <w:widowControl/>
              <w:suppressLineNumbers w:val="0"/>
              <w:jc w:val="center"/>
              <w:textAlignment w:val="center"/>
              <w:rPr>
                <w:rFonts w:hint="eastAsia"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6次测试平均值</w:t>
            </w:r>
          </w:p>
        </w:tc>
        <w:tc>
          <w:tcPr>
            <w:tcW w:w="401" w:type="pct"/>
            <w:shd w:val="clear" w:color="auto" w:fill="auto"/>
            <w:vAlign w:val="center"/>
          </w:tcPr>
          <w:p w14:paraId="090B87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26.31 </w:t>
            </w:r>
          </w:p>
        </w:tc>
        <w:tc>
          <w:tcPr>
            <w:tcW w:w="343" w:type="pct"/>
            <w:shd w:val="clear" w:color="auto" w:fill="auto"/>
            <w:vAlign w:val="center"/>
          </w:tcPr>
          <w:p w14:paraId="7222DA2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3.08 </w:t>
            </w:r>
          </w:p>
        </w:tc>
        <w:tc>
          <w:tcPr>
            <w:tcW w:w="401" w:type="pct"/>
            <w:shd w:val="clear" w:color="auto" w:fill="auto"/>
            <w:vAlign w:val="center"/>
          </w:tcPr>
          <w:p w14:paraId="091D49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17.96 </w:t>
            </w:r>
          </w:p>
        </w:tc>
        <w:tc>
          <w:tcPr>
            <w:tcW w:w="401" w:type="pct"/>
            <w:shd w:val="clear" w:color="auto" w:fill="auto"/>
            <w:vAlign w:val="center"/>
          </w:tcPr>
          <w:p w14:paraId="34C6EB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23.85 </w:t>
            </w:r>
          </w:p>
        </w:tc>
        <w:tc>
          <w:tcPr>
            <w:tcW w:w="401" w:type="pct"/>
            <w:shd w:val="clear" w:color="auto" w:fill="auto"/>
            <w:vAlign w:val="center"/>
          </w:tcPr>
          <w:p w14:paraId="0A8068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17.23 </w:t>
            </w:r>
          </w:p>
        </w:tc>
      </w:tr>
      <w:tr w14:paraId="7D0A107F">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418" w:type="pct"/>
            <w:vMerge w:val="continue"/>
            <w:shd w:val="clear" w:color="auto" w:fill="auto"/>
            <w:vAlign w:val="center"/>
          </w:tcPr>
          <w:p w14:paraId="4B3372F6">
            <w:pPr>
              <w:jc w:val="center"/>
              <w:rPr>
                <w:rFonts w:hint="eastAsia" w:ascii="Times New Roman" w:hAnsi="Times New Roman" w:eastAsia="仿宋_GB2312" w:cs="仿宋_GB2312"/>
                <w:i w:val="0"/>
                <w:iCs w:val="0"/>
                <w:color w:val="000000"/>
                <w:sz w:val="18"/>
                <w:szCs w:val="18"/>
                <w:u w:val="none"/>
              </w:rPr>
            </w:pPr>
          </w:p>
        </w:tc>
        <w:tc>
          <w:tcPr>
            <w:tcW w:w="626" w:type="pct"/>
            <w:vMerge w:val="continue"/>
            <w:shd w:val="clear" w:color="auto" w:fill="auto"/>
            <w:vAlign w:val="center"/>
          </w:tcPr>
          <w:p w14:paraId="12017BB2">
            <w:pPr>
              <w:jc w:val="center"/>
              <w:rPr>
                <w:rFonts w:hint="eastAsia" w:ascii="Times New Roman" w:hAnsi="Times New Roman" w:eastAsia="仿宋_GB2312" w:cs="仿宋_GB2312"/>
                <w:i w:val="0"/>
                <w:iCs w:val="0"/>
                <w:color w:val="000000"/>
                <w:sz w:val="18"/>
                <w:szCs w:val="18"/>
                <w:u w:val="none"/>
              </w:rPr>
            </w:pPr>
          </w:p>
        </w:tc>
        <w:tc>
          <w:tcPr>
            <w:tcW w:w="1006" w:type="pct"/>
            <w:shd w:val="clear" w:color="auto" w:fill="auto"/>
            <w:vAlign w:val="center"/>
          </w:tcPr>
          <w:p w14:paraId="5B0A446D">
            <w:pPr>
              <w:keepNext w:val="0"/>
              <w:keepLines w:val="0"/>
              <w:widowControl/>
              <w:suppressLineNumbers w:val="0"/>
              <w:jc w:val="center"/>
              <w:textAlignment w:val="center"/>
              <w:rPr>
                <w:rFonts w:hint="eastAsia"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极差</w:t>
            </w:r>
          </w:p>
        </w:tc>
        <w:tc>
          <w:tcPr>
            <w:tcW w:w="401" w:type="pct"/>
            <w:shd w:val="clear" w:color="auto" w:fill="auto"/>
            <w:vAlign w:val="center"/>
          </w:tcPr>
          <w:p w14:paraId="0F11DC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0.80 </w:t>
            </w:r>
          </w:p>
        </w:tc>
        <w:tc>
          <w:tcPr>
            <w:tcW w:w="343" w:type="pct"/>
            <w:shd w:val="clear" w:color="auto" w:fill="auto"/>
            <w:vAlign w:val="center"/>
          </w:tcPr>
          <w:p w14:paraId="7B9B3A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0.46 </w:t>
            </w:r>
          </w:p>
        </w:tc>
        <w:tc>
          <w:tcPr>
            <w:tcW w:w="401" w:type="pct"/>
            <w:shd w:val="clear" w:color="auto" w:fill="auto"/>
            <w:vAlign w:val="center"/>
          </w:tcPr>
          <w:p w14:paraId="1699A75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0.47 </w:t>
            </w:r>
          </w:p>
        </w:tc>
        <w:tc>
          <w:tcPr>
            <w:tcW w:w="401" w:type="pct"/>
            <w:shd w:val="clear" w:color="auto" w:fill="auto"/>
            <w:vAlign w:val="center"/>
          </w:tcPr>
          <w:p w14:paraId="0C97E9C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0.87 </w:t>
            </w:r>
          </w:p>
        </w:tc>
        <w:tc>
          <w:tcPr>
            <w:tcW w:w="401" w:type="pct"/>
            <w:shd w:val="clear" w:color="auto" w:fill="auto"/>
            <w:vAlign w:val="center"/>
          </w:tcPr>
          <w:p w14:paraId="2693E9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0.95 </w:t>
            </w:r>
          </w:p>
        </w:tc>
      </w:tr>
      <w:tr w14:paraId="609CCD7C">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418" w:type="pct"/>
            <w:vMerge w:val="continue"/>
            <w:shd w:val="clear" w:color="auto" w:fill="auto"/>
            <w:vAlign w:val="center"/>
          </w:tcPr>
          <w:p w14:paraId="3F03D90A">
            <w:pPr>
              <w:jc w:val="center"/>
              <w:rPr>
                <w:rFonts w:hint="eastAsia" w:ascii="Times New Roman" w:hAnsi="Times New Roman" w:eastAsia="仿宋_GB2312" w:cs="仿宋_GB2312"/>
                <w:i w:val="0"/>
                <w:iCs w:val="0"/>
                <w:color w:val="000000"/>
                <w:sz w:val="18"/>
                <w:szCs w:val="18"/>
                <w:u w:val="none"/>
              </w:rPr>
            </w:pPr>
          </w:p>
        </w:tc>
        <w:tc>
          <w:tcPr>
            <w:tcW w:w="626" w:type="pct"/>
            <w:vMerge w:val="continue"/>
            <w:shd w:val="clear" w:color="auto" w:fill="auto"/>
            <w:vAlign w:val="center"/>
          </w:tcPr>
          <w:p w14:paraId="13AC8C28">
            <w:pPr>
              <w:jc w:val="center"/>
              <w:rPr>
                <w:rFonts w:hint="eastAsia" w:ascii="Times New Roman" w:hAnsi="Times New Roman" w:eastAsia="仿宋_GB2312" w:cs="仿宋_GB2312"/>
                <w:i w:val="0"/>
                <w:iCs w:val="0"/>
                <w:color w:val="000000"/>
                <w:sz w:val="18"/>
                <w:szCs w:val="18"/>
                <w:u w:val="none"/>
              </w:rPr>
            </w:pPr>
          </w:p>
        </w:tc>
        <w:tc>
          <w:tcPr>
            <w:tcW w:w="1006" w:type="pct"/>
            <w:shd w:val="clear" w:color="auto" w:fill="auto"/>
            <w:vAlign w:val="center"/>
          </w:tcPr>
          <w:p w14:paraId="24346197">
            <w:pPr>
              <w:keepNext w:val="0"/>
              <w:keepLines w:val="0"/>
              <w:widowControl/>
              <w:suppressLineNumbers w:val="0"/>
              <w:jc w:val="center"/>
              <w:textAlignment w:val="center"/>
              <w:rPr>
                <w:rFonts w:hint="eastAsia"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标准偏差</w:t>
            </w:r>
            <w:r>
              <w:rPr>
                <w:rFonts w:hint="eastAsia" w:ascii="Times New Roman" w:hAnsi="Times New Roman"/>
                <w:i/>
                <w:iCs/>
                <w:sz w:val="18"/>
                <w:szCs w:val="18"/>
                <w:lang w:val="en-US" w:eastAsia="zh-CN"/>
              </w:rPr>
              <w:t>S</w:t>
            </w:r>
            <w:r>
              <w:rPr>
                <w:rFonts w:hint="eastAsia" w:ascii="Times New Roman" w:hAnsi="Times New Roman"/>
                <w:i/>
                <w:iCs/>
                <w:sz w:val="18"/>
                <w:szCs w:val="18"/>
                <w:vertAlign w:val="subscript"/>
                <w:lang w:val="en-US" w:eastAsia="zh-CN"/>
              </w:rPr>
              <w:t>r</w:t>
            </w:r>
          </w:p>
        </w:tc>
        <w:tc>
          <w:tcPr>
            <w:tcW w:w="401" w:type="pct"/>
            <w:shd w:val="clear" w:color="auto" w:fill="auto"/>
            <w:vAlign w:val="center"/>
          </w:tcPr>
          <w:p w14:paraId="24E56C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0.34 </w:t>
            </w:r>
          </w:p>
        </w:tc>
        <w:tc>
          <w:tcPr>
            <w:tcW w:w="343" w:type="pct"/>
            <w:shd w:val="clear" w:color="auto" w:fill="auto"/>
            <w:vAlign w:val="center"/>
          </w:tcPr>
          <w:p w14:paraId="7C516B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0.21 </w:t>
            </w:r>
          </w:p>
        </w:tc>
        <w:tc>
          <w:tcPr>
            <w:tcW w:w="401" w:type="pct"/>
            <w:shd w:val="clear" w:color="auto" w:fill="auto"/>
            <w:vAlign w:val="center"/>
          </w:tcPr>
          <w:p w14:paraId="4BF75D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0.25 </w:t>
            </w:r>
          </w:p>
        </w:tc>
        <w:tc>
          <w:tcPr>
            <w:tcW w:w="401" w:type="pct"/>
            <w:shd w:val="clear" w:color="auto" w:fill="auto"/>
            <w:vAlign w:val="center"/>
          </w:tcPr>
          <w:p w14:paraId="7DD78D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0.34 </w:t>
            </w:r>
          </w:p>
        </w:tc>
        <w:tc>
          <w:tcPr>
            <w:tcW w:w="401" w:type="pct"/>
            <w:shd w:val="clear" w:color="auto" w:fill="auto"/>
            <w:vAlign w:val="center"/>
          </w:tcPr>
          <w:p w14:paraId="532C53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0.34 </w:t>
            </w:r>
          </w:p>
        </w:tc>
      </w:tr>
      <w:tr w14:paraId="6C0FACDB">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418" w:type="pct"/>
            <w:vMerge w:val="continue"/>
            <w:tcBorders>
              <w:bottom w:val="single" w:color="000000" w:sz="4" w:space="0"/>
            </w:tcBorders>
            <w:shd w:val="clear" w:color="auto" w:fill="auto"/>
            <w:vAlign w:val="center"/>
          </w:tcPr>
          <w:p w14:paraId="12FCF054">
            <w:pPr>
              <w:jc w:val="center"/>
              <w:rPr>
                <w:rFonts w:hint="eastAsia" w:ascii="Times New Roman" w:hAnsi="Times New Roman" w:eastAsia="仿宋_GB2312" w:cs="仿宋_GB2312"/>
                <w:i w:val="0"/>
                <w:iCs w:val="0"/>
                <w:color w:val="000000"/>
                <w:sz w:val="18"/>
                <w:szCs w:val="18"/>
                <w:u w:val="none"/>
              </w:rPr>
            </w:pPr>
          </w:p>
        </w:tc>
        <w:tc>
          <w:tcPr>
            <w:tcW w:w="1632" w:type="pct"/>
            <w:gridSpan w:val="2"/>
            <w:tcBorders>
              <w:bottom w:val="single" w:color="000000" w:sz="4" w:space="0"/>
            </w:tcBorders>
            <w:shd w:val="clear" w:color="auto" w:fill="auto"/>
            <w:vAlign w:val="center"/>
          </w:tcPr>
          <w:p w14:paraId="76EF0EA0">
            <w:pPr>
              <w:keepNext w:val="0"/>
              <w:keepLines w:val="0"/>
              <w:widowControl/>
              <w:suppressLineNumbers w:val="0"/>
              <w:jc w:val="center"/>
              <w:textAlignment w:val="center"/>
              <w:rPr>
                <w:rFonts w:hint="default" w:ascii="Times New Roman" w:hAnsi="Times New Roman" w:eastAsia="仿宋_GB2312" w:cs="仿宋_GB2312"/>
                <w:i w:val="0"/>
                <w:iCs w:val="0"/>
                <w:color w:val="000000"/>
                <w:kern w:val="0"/>
                <w:sz w:val="18"/>
                <w:szCs w:val="18"/>
                <w:u w:val="none"/>
                <w:lang w:val="en-US" w:eastAsia="zh-CN" w:bidi="ar"/>
              </w:rPr>
            </w:pPr>
            <w:r>
              <w:rPr>
                <w:rFonts w:hint="eastAsia" w:ascii="Times New Roman" w:hAnsi="Times New Roman" w:eastAsia="宋体"/>
                <w:i/>
                <w:iCs/>
                <w:sz w:val="18"/>
                <w:szCs w:val="18"/>
                <w:lang w:val="en-US" w:eastAsia="zh-CN"/>
              </w:rPr>
              <w:t>S</w:t>
            </w:r>
            <w:r>
              <w:rPr>
                <w:rFonts w:hint="eastAsia" w:ascii="Times New Roman" w:hAnsi="Times New Roman" w:eastAsia="宋体"/>
                <w:i/>
                <w:iCs/>
                <w:sz w:val="18"/>
                <w:szCs w:val="18"/>
                <w:vertAlign w:val="subscript"/>
                <w:lang w:val="en-US" w:eastAsia="zh-CN"/>
              </w:rPr>
              <w:t>R</w:t>
            </w:r>
          </w:p>
        </w:tc>
        <w:tc>
          <w:tcPr>
            <w:tcW w:w="401" w:type="pct"/>
            <w:tcBorders>
              <w:bottom w:val="single" w:color="000000" w:sz="4" w:space="0"/>
            </w:tcBorders>
            <w:shd w:val="clear" w:color="auto" w:fill="auto"/>
            <w:vAlign w:val="center"/>
          </w:tcPr>
          <w:p w14:paraId="5E5D5C3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0.35</w:t>
            </w:r>
          </w:p>
        </w:tc>
        <w:tc>
          <w:tcPr>
            <w:tcW w:w="343" w:type="pct"/>
            <w:tcBorders>
              <w:bottom w:val="single" w:color="000000" w:sz="4" w:space="0"/>
            </w:tcBorders>
            <w:shd w:val="clear" w:color="auto" w:fill="auto"/>
            <w:vAlign w:val="center"/>
          </w:tcPr>
          <w:p w14:paraId="08B94A5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0.22</w:t>
            </w:r>
          </w:p>
        </w:tc>
        <w:tc>
          <w:tcPr>
            <w:tcW w:w="401" w:type="pct"/>
            <w:tcBorders>
              <w:bottom w:val="single" w:color="000000" w:sz="4" w:space="0"/>
            </w:tcBorders>
            <w:shd w:val="clear" w:color="auto" w:fill="auto"/>
            <w:vAlign w:val="center"/>
          </w:tcPr>
          <w:p w14:paraId="3AE9CC1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0.23</w:t>
            </w:r>
          </w:p>
        </w:tc>
        <w:tc>
          <w:tcPr>
            <w:tcW w:w="401" w:type="pct"/>
            <w:tcBorders>
              <w:bottom w:val="single" w:color="000000" w:sz="4" w:space="0"/>
            </w:tcBorders>
            <w:shd w:val="clear" w:color="auto" w:fill="auto"/>
            <w:vAlign w:val="center"/>
          </w:tcPr>
          <w:p w14:paraId="294F31F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0.27</w:t>
            </w:r>
          </w:p>
        </w:tc>
        <w:tc>
          <w:tcPr>
            <w:tcW w:w="401" w:type="pct"/>
            <w:tcBorders>
              <w:bottom w:val="single" w:color="000000" w:sz="4" w:space="0"/>
            </w:tcBorders>
            <w:shd w:val="clear" w:color="auto" w:fill="auto"/>
            <w:vAlign w:val="center"/>
          </w:tcPr>
          <w:p w14:paraId="280AE98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0.28</w:t>
            </w:r>
          </w:p>
        </w:tc>
      </w:tr>
      <w:tr w14:paraId="24F4082A">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418" w:type="pct"/>
            <w:vMerge w:val="restart"/>
            <w:tcBorders>
              <w:top w:val="single" w:color="000000" w:sz="4" w:space="0"/>
            </w:tcBorders>
            <w:shd w:val="clear" w:color="auto" w:fill="auto"/>
            <w:vAlign w:val="center"/>
          </w:tcPr>
          <w:p w14:paraId="466B91DD">
            <w:pPr>
              <w:keepNext w:val="0"/>
              <w:keepLines w:val="0"/>
              <w:widowControl/>
              <w:suppressLineNumbers w:val="0"/>
              <w:jc w:val="center"/>
              <w:textAlignment w:val="center"/>
              <w:rPr>
                <w:rFonts w:hint="eastAsia"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国产设备近红外预测值</w:t>
            </w:r>
          </w:p>
        </w:tc>
        <w:tc>
          <w:tcPr>
            <w:tcW w:w="626" w:type="pct"/>
            <w:vMerge w:val="restart"/>
            <w:tcBorders>
              <w:top w:val="single" w:color="000000" w:sz="4" w:space="0"/>
            </w:tcBorders>
            <w:shd w:val="clear" w:color="auto" w:fill="auto"/>
            <w:vAlign w:val="center"/>
          </w:tcPr>
          <w:p w14:paraId="24541EFF">
            <w:pPr>
              <w:keepNext w:val="0"/>
              <w:keepLines w:val="0"/>
              <w:widowControl/>
              <w:suppressLineNumbers w:val="0"/>
              <w:jc w:val="center"/>
              <w:textAlignment w:val="center"/>
              <w:rPr>
                <w:rFonts w:hint="eastAsia"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实验室1</w:t>
            </w:r>
          </w:p>
        </w:tc>
        <w:tc>
          <w:tcPr>
            <w:tcW w:w="1006" w:type="pct"/>
            <w:tcBorders>
              <w:top w:val="single" w:color="000000" w:sz="4" w:space="0"/>
            </w:tcBorders>
            <w:shd w:val="clear" w:color="auto" w:fill="auto"/>
            <w:vAlign w:val="center"/>
          </w:tcPr>
          <w:p w14:paraId="0DCA822A">
            <w:pPr>
              <w:keepNext w:val="0"/>
              <w:keepLines w:val="0"/>
              <w:widowControl/>
              <w:suppressLineNumbers w:val="0"/>
              <w:jc w:val="center"/>
              <w:textAlignment w:val="center"/>
              <w:rPr>
                <w:rFonts w:hint="eastAsia"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6次测试平均值</w:t>
            </w:r>
          </w:p>
        </w:tc>
        <w:tc>
          <w:tcPr>
            <w:tcW w:w="401" w:type="pct"/>
            <w:tcBorders>
              <w:top w:val="single" w:color="000000" w:sz="4" w:space="0"/>
            </w:tcBorders>
            <w:shd w:val="clear" w:color="auto" w:fill="auto"/>
            <w:vAlign w:val="center"/>
          </w:tcPr>
          <w:p w14:paraId="6EAAF0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27.08 </w:t>
            </w:r>
          </w:p>
        </w:tc>
        <w:tc>
          <w:tcPr>
            <w:tcW w:w="343" w:type="pct"/>
            <w:tcBorders>
              <w:top w:val="single" w:color="000000" w:sz="4" w:space="0"/>
            </w:tcBorders>
            <w:shd w:val="clear" w:color="auto" w:fill="auto"/>
            <w:vAlign w:val="center"/>
          </w:tcPr>
          <w:p w14:paraId="25B59F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3.65 </w:t>
            </w:r>
          </w:p>
        </w:tc>
        <w:tc>
          <w:tcPr>
            <w:tcW w:w="401" w:type="pct"/>
            <w:tcBorders>
              <w:top w:val="single" w:color="000000" w:sz="4" w:space="0"/>
            </w:tcBorders>
            <w:shd w:val="clear" w:color="auto" w:fill="auto"/>
            <w:vAlign w:val="center"/>
          </w:tcPr>
          <w:p w14:paraId="49B0A6C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16.90 </w:t>
            </w:r>
          </w:p>
        </w:tc>
        <w:tc>
          <w:tcPr>
            <w:tcW w:w="401" w:type="pct"/>
            <w:tcBorders>
              <w:top w:val="single" w:color="000000" w:sz="4" w:space="0"/>
            </w:tcBorders>
            <w:shd w:val="clear" w:color="auto" w:fill="auto"/>
            <w:vAlign w:val="center"/>
          </w:tcPr>
          <w:p w14:paraId="6234A5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24.14 </w:t>
            </w:r>
          </w:p>
        </w:tc>
        <w:tc>
          <w:tcPr>
            <w:tcW w:w="401" w:type="pct"/>
            <w:tcBorders>
              <w:top w:val="single" w:color="000000" w:sz="4" w:space="0"/>
            </w:tcBorders>
            <w:shd w:val="clear" w:color="auto" w:fill="auto"/>
            <w:vAlign w:val="center"/>
          </w:tcPr>
          <w:p w14:paraId="5642FC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18.57 </w:t>
            </w:r>
          </w:p>
        </w:tc>
      </w:tr>
      <w:tr w14:paraId="552188C0">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418" w:type="pct"/>
            <w:vMerge w:val="continue"/>
            <w:shd w:val="clear" w:color="auto" w:fill="auto"/>
            <w:vAlign w:val="center"/>
          </w:tcPr>
          <w:p w14:paraId="2A49EB44">
            <w:pPr>
              <w:jc w:val="center"/>
              <w:rPr>
                <w:rFonts w:hint="eastAsia" w:ascii="Times New Roman" w:hAnsi="Times New Roman" w:eastAsia="仿宋_GB2312" w:cs="仿宋_GB2312"/>
                <w:i w:val="0"/>
                <w:iCs w:val="0"/>
                <w:color w:val="000000"/>
                <w:sz w:val="18"/>
                <w:szCs w:val="18"/>
                <w:u w:val="none"/>
              </w:rPr>
            </w:pPr>
          </w:p>
        </w:tc>
        <w:tc>
          <w:tcPr>
            <w:tcW w:w="626" w:type="pct"/>
            <w:vMerge w:val="continue"/>
            <w:shd w:val="clear" w:color="auto" w:fill="auto"/>
            <w:vAlign w:val="center"/>
          </w:tcPr>
          <w:p w14:paraId="212968C7">
            <w:pPr>
              <w:jc w:val="center"/>
              <w:rPr>
                <w:rFonts w:hint="eastAsia" w:ascii="Times New Roman" w:hAnsi="Times New Roman" w:eastAsia="仿宋_GB2312" w:cs="仿宋_GB2312"/>
                <w:i w:val="0"/>
                <w:iCs w:val="0"/>
                <w:color w:val="000000"/>
                <w:sz w:val="18"/>
                <w:szCs w:val="18"/>
                <w:u w:val="none"/>
              </w:rPr>
            </w:pPr>
          </w:p>
        </w:tc>
        <w:tc>
          <w:tcPr>
            <w:tcW w:w="1006" w:type="pct"/>
            <w:shd w:val="clear" w:color="auto" w:fill="auto"/>
            <w:vAlign w:val="center"/>
          </w:tcPr>
          <w:p w14:paraId="3537E800">
            <w:pPr>
              <w:keepNext w:val="0"/>
              <w:keepLines w:val="0"/>
              <w:widowControl/>
              <w:suppressLineNumbers w:val="0"/>
              <w:jc w:val="center"/>
              <w:textAlignment w:val="center"/>
              <w:rPr>
                <w:rFonts w:hint="eastAsia"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极差</w:t>
            </w:r>
          </w:p>
        </w:tc>
        <w:tc>
          <w:tcPr>
            <w:tcW w:w="401" w:type="pct"/>
            <w:shd w:val="clear" w:color="auto" w:fill="auto"/>
            <w:vAlign w:val="center"/>
          </w:tcPr>
          <w:p w14:paraId="102C9E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0.87 </w:t>
            </w:r>
          </w:p>
        </w:tc>
        <w:tc>
          <w:tcPr>
            <w:tcW w:w="343" w:type="pct"/>
            <w:shd w:val="clear" w:color="auto" w:fill="auto"/>
            <w:vAlign w:val="center"/>
          </w:tcPr>
          <w:p w14:paraId="1E4372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0.78 </w:t>
            </w:r>
          </w:p>
        </w:tc>
        <w:tc>
          <w:tcPr>
            <w:tcW w:w="401" w:type="pct"/>
            <w:shd w:val="clear" w:color="auto" w:fill="auto"/>
            <w:vAlign w:val="center"/>
          </w:tcPr>
          <w:p w14:paraId="66A3997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0.64 </w:t>
            </w:r>
          </w:p>
        </w:tc>
        <w:tc>
          <w:tcPr>
            <w:tcW w:w="401" w:type="pct"/>
            <w:shd w:val="clear" w:color="auto" w:fill="auto"/>
            <w:vAlign w:val="center"/>
          </w:tcPr>
          <w:p w14:paraId="17589A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1.18 </w:t>
            </w:r>
          </w:p>
        </w:tc>
        <w:tc>
          <w:tcPr>
            <w:tcW w:w="401" w:type="pct"/>
            <w:shd w:val="clear" w:color="auto" w:fill="auto"/>
            <w:vAlign w:val="center"/>
          </w:tcPr>
          <w:p w14:paraId="4E7EA3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0.86 </w:t>
            </w:r>
          </w:p>
        </w:tc>
      </w:tr>
      <w:tr w14:paraId="694BE5F7">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418" w:type="pct"/>
            <w:vMerge w:val="continue"/>
            <w:shd w:val="clear" w:color="auto" w:fill="auto"/>
            <w:vAlign w:val="center"/>
          </w:tcPr>
          <w:p w14:paraId="4E0594FD">
            <w:pPr>
              <w:jc w:val="center"/>
              <w:rPr>
                <w:rFonts w:hint="eastAsia" w:ascii="Times New Roman" w:hAnsi="Times New Roman" w:eastAsia="仿宋_GB2312" w:cs="仿宋_GB2312"/>
                <w:i w:val="0"/>
                <w:iCs w:val="0"/>
                <w:color w:val="000000"/>
                <w:sz w:val="18"/>
                <w:szCs w:val="18"/>
                <w:u w:val="none"/>
              </w:rPr>
            </w:pPr>
          </w:p>
        </w:tc>
        <w:tc>
          <w:tcPr>
            <w:tcW w:w="626" w:type="pct"/>
            <w:vMerge w:val="continue"/>
            <w:shd w:val="clear" w:color="auto" w:fill="auto"/>
            <w:vAlign w:val="center"/>
          </w:tcPr>
          <w:p w14:paraId="54A242A5">
            <w:pPr>
              <w:jc w:val="center"/>
              <w:rPr>
                <w:rFonts w:hint="eastAsia" w:ascii="Times New Roman" w:hAnsi="Times New Roman" w:eastAsia="仿宋_GB2312" w:cs="仿宋_GB2312"/>
                <w:i w:val="0"/>
                <w:iCs w:val="0"/>
                <w:color w:val="000000"/>
                <w:sz w:val="18"/>
                <w:szCs w:val="18"/>
                <w:u w:val="none"/>
              </w:rPr>
            </w:pPr>
          </w:p>
        </w:tc>
        <w:tc>
          <w:tcPr>
            <w:tcW w:w="1006" w:type="pct"/>
            <w:shd w:val="clear" w:color="auto" w:fill="auto"/>
            <w:vAlign w:val="center"/>
          </w:tcPr>
          <w:p w14:paraId="45D2BE0E">
            <w:pPr>
              <w:keepNext w:val="0"/>
              <w:keepLines w:val="0"/>
              <w:widowControl/>
              <w:suppressLineNumbers w:val="0"/>
              <w:jc w:val="center"/>
              <w:textAlignment w:val="center"/>
              <w:rPr>
                <w:rFonts w:hint="eastAsia"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标准偏差</w:t>
            </w:r>
            <w:r>
              <w:rPr>
                <w:rFonts w:hint="eastAsia" w:ascii="Times New Roman" w:hAnsi="Times New Roman"/>
                <w:i/>
                <w:iCs/>
                <w:sz w:val="18"/>
                <w:szCs w:val="18"/>
                <w:lang w:val="en-US" w:eastAsia="zh-CN"/>
              </w:rPr>
              <w:t>S</w:t>
            </w:r>
            <w:r>
              <w:rPr>
                <w:rFonts w:hint="eastAsia" w:ascii="Times New Roman" w:hAnsi="Times New Roman"/>
                <w:i/>
                <w:iCs/>
                <w:sz w:val="18"/>
                <w:szCs w:val="18"/>
                <w:vertAlign w:val="subscript"/>
                <w:lang w:val="en-US" w:eastAsia="zh-CN"/>
              </w:rPr>
              <w:t>r</w:t>
            </w:r>
          </w:p>
        </w:tc>
        <w:tc>
          <w:tcPr>
            <w:tcW w:w="401" w:type="pct"/>
            <w:shd w:val="clear" w:color="auto" w:fill="auto"/>
            <w:vAlign w:val="center"/>
          </w:tcPr>
          <w:p w14:paraId="48FA64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0.32 </w:t>
            </w:r>
          </w:p>
        </w:tc>
        <w:tc>
          <w:tcPr>
            <w:tcW w:w="343" w:type="pct"/>
            <w:shd w:val="clear" w:color="auto" w:fill="auto"/>
            <w:vAlign w:val="center"/>
          </w:tcPr>
          <w:p w14:paraId="0734D2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0.28 </w:t>
            </w:r>
          </w:p>
        </w:tc>
        <w:tc>
          <w:tcPr>
            <w:tcW w:w="401" w:type="pct"/>
            <w:shd w:val="clear" w:color="auto" w:fill="auto"/>
            <w:vAlign w:val="center"/>
          </w:tcPr>
          <w:p w14:paraId="68328A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0.24 </w:t>
            </w:r>
          </w:p>
        </w:tc>
        <w:tc>
          <w:tcPr>
            <w:tcW w:w="401" w:type="pct"/>
            <w:shd w:val="clear" w:color="auto" w:fill="auto"/>
            <w:vAlign w:val="center"/>
          </w:tcPr>
          <w:p w14:paraId="18E13CF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0.45 </w:t>
            </w:r>
          </w:p>
        </w:tc>
        <w:tc>
          <w:tcPr>
            <w:tcW w:w="401" w:type="pct"/>
            <w:shd w:val="clear" w:color="auto" w:fill="auto"/>
            <w:vAlign w:val="center"/>
          </w:tcPr>
          <w:p w14:paraId="6E9C56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0.34 </w:t>
            </w:r>
          </w:p>
        </w:tc>
      </w:tr>
      <w:tr w14:paraId="3F50C706">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418" w:type="pct"/>
            <w:vMerge w:val="continue"/>
            <w:shd w:val="clear" w:color="auto" w:fill="auto"/>
            <w:vAlign w:val="center"/>
          </w:tcPr>
          <w:p w14:paraId="3D3D6DF6">
            <w:pPr>
              <w:jc w:val="center"/>
              <w:rPr>
                <w:rFonts w:hint="eastAsia" w:ascii="Times New Roman" w:hAnsi="Times New Roman" w:eastAsia="仿宋_GB2312" w:cs="仿宋_GB2312"/>
                <w:i w:val="0"/>
                <w:iCs w:val="0"/>
                <w:color w:val="000000"/>
                <w:sz w:val="18"/>
                <w:szCs w:val="18"/>
                <w:u w:val="none"/>
              </w:rPr>
            </w:pPr>
          </w:p>
        </w:tc>
        <w:tc>
          <w:tcPr>
            <w:tcW w:w="626" w:type="pct"/>
            <w:vMerge w:val="restart"/>
            <w:shd w:val="clear" w:color="auto" w:fill="auto"/>
            <w:vAlign w:val="center"/>
          </w:tcPr>
          <w:p w14:paraId="14E29A7C">
            <w:pPr>
              <w:keepNext w:val="0"/>
              <w:keepLines w:val="0"/>
              <w:widowControl/>
              <w:suppressLineNumbers w:val="0"/>
              <w:jc w:val="center"/>
              <w:textAlignment w:val="center"/>
              <w:rPr>
                <w:rFonts w:hint="eastAsia"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实验室2</w:t>
            </w:r>
          </w:p>
        </w:tc>
        <w:tc>
          <w:tcPr>
            <w:tcW w:w="1006" w:type="pct"/>
            <w:shd w:val="clear" w:color="auto" w:fill="auto"/>
            <w:vAlign w:val="center"/>
          </w:tcPr>
          <w:p w14:paraId="0C38DC45">
            <w:pPr>
              <w:keepNext w:val="0"/>
              <w:keepLines w:val="0"/>
              <w:widowControl/>
              <w:suppressLineNumbers w:val="0"/>
              <w:jc w:val="center"/>
              <w:textAlignment w:val="center"/>
              <w:rPr>
                <w:rFonts w:hint="eastAsia"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6次测试平均值</w:t>
            </w:r>
          </w:p>
        </w:tc>
        <w:tc>
          <w:tcPr>
            <w:tcW w:w="401" w:type="pct"/>
            <w:shd w:val="clear" w:color="auto" w:fill="auto"/>
            <w:vAlign w:val="center"/>
          </w:tcPr>
          <w:p w14:paraId="0302E4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27.14 </w:t>
            </w:r>
          </w:p>
        </w:tc>
        <w:tc>
          <w:tcPr>
            <w:tcW w:w="343" w:type="pct"/>
            <w:shd w:val="clear" w:color="auto" w:fill="auto"/>
            <w:vAlign w:val="center"/>
          </w:tcPr>
          <w:p w14:paraId="371CE8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4.03 </w:t>
            </w:r>
          </w:p>
        </w:tc>
        <w:tc>
          <w:tcPr>
            <w:tcW w:w="401" w:type="pct"/>
            <w:shd w:val="clear" w:color="auto" w:fill="auto"/>
            <w:vAlign w:val="center"/>
          </w:tcPr>
          <w:p w14:paraId="646957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17.19 </w:t>
            </w:r>
          </w:p>
        </w:tc>
        <w:tc>
          <w:tcPr>
            <w:tcW w:w="401" w:type="pct"/>
            <w:shd w:val="clear" w:color="auto" w:fill="auto"/>
            <w:vAlign w:val="center"/>
          </w:tcPr>
          <w:p w14:paraId="4A9C8A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24.60 </w:t>
            </w:r>
          </w:p>
        </w:tc>
        <w:tc>
          <w:tcPr>
            <w:tcW w:w="401" w:type="pct"/>
            <w:shd w:val="clear" w:color="auto" w:fill="auto"/>
            <w:vAlign w:val="center"/>
          </w:tcPr>
          <w:p w14:paraId="7C10BD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18.10 </w:t>
            </w:r>
          </w:p>
        </w:tc>
      </w:tr>
      <w:tr w14:paraId="4C7BCB87">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418" w:type="pct"/>
            <w:vMerge w:val="continue"/>
            <w:shd w:val="clear" w:color="auto" w:fill="auto"/>
            <w:vAlign w:val="center"/>
          </w:tcPr>
          <w:p w14:paraId="2C921B76">
            <w:pPr>
              <w:jc w:val="center"/>
              <w:rPr>
                <w:rFonts w:hint="eastAsia" w:ascii="Times New Roman" w:hAnsi="Times New Roman" w:eastAsia="仿宋_GB2312" w:cs="仿宋_GB2312"/>
                <w:i w:val="0"/>
                <w:iCs w:val="0"/>
                <w:color w:val="000000"/>
                <w:sz w:val="18"/>
                <w:szCs w:val="18"/>
                <w:u w:val="none"/>
              </w:rPr>
            </w:pPr>
          </w:p>
        </w:tc>
        <w:tc>
          <w:tcPr>
            <w:tcW w:w="626" w:type="pct"/>
            <w:vMerge w:val="continue"/>
            <w:shd w:val="clear" w:color="auto" w:fill="auto"/>
            <w:vAlign w:val="center"/>
          </w:tcPr>
          <w:p w14:paraId="3D6B8D2F">
            <w:pPr>
              <w:jc w:val="center"/>
              <w:rPr>
                <w:rFonts w:hint="eastAsia" w:ascii="Times New Roman" w:hAnsi="Times New Roman" w:eastAsia="仿宋_GB2312" w:cs="仿宋_GB2312"/>
                <w:i w:val="0"/>
                <w:iCs w:val="0"/>
                <w:color w:val="000000"/>
                <w:sz w:val="18"/>
                <w:szCs w:val="18"/>
                <w:u w:val="none"/>
              </w:rPr>
            </w:pPr>
          </w:p>
        </w:tc>
        <w:tc>
          <w:tcPr>
            <w:tcW w:w="1006" w:type="pct"/>
            <w:shd w:val="clear" w:color="auto" w:fill="auto"/>
            <w:vAlign w:val="center"/>
          </w:tcPr>
          <w:p w14:paraId="2F331197">
            <w:pPr>
              <w:keepNext w:val="0"/>
              <w:keepLines w:val="0"/>
              <w:widowControl/>
              <w:suppressLineNumbers w:val="0"/>
              <w:jc w:val="center"/>
              <w:textAlignment w:val="center"/>
              <w:rPr>
                <w:rFonts w:hint="eastAsia"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极差</w:t>
            </w:r>
          </w:p>
        </w:tc>
        <w:tc>
          <w:tcPr>
            <w:tcW w:w="401" w:type="pct"/>
            <w:shd w:val="clear" w:color="auto" w:fill="auto"/>
            <w:vAlign w:val="center"/>
          </w:tcPr>
          <w:p w14:paraId="3BE6DE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0.87 </w:t>
            </w:r>
          </w:p>
        </w:tc>
        <w:tc>
          <w:tcPr>
            <w:tcW w:w="343" w:type="pct"/>
            <w:shd w:val="clear" w:color="auto" w:fill="auto"/>
            <w:vAlign w:val="center"/>
          </w:tcPr>
          <w:p w14:paraId="00758B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0.51 </w:t>
            </w:r>
          </w:p>
        </w:tc>
        <w:tc>
          <w:tcPr>
            <w:tcW w:w="401" w:type="pct"/>
            <w:shd w:val="clear" w:color="auto" w:fill="auto"/>
            <w:vAlign w:val="center"/>
          </w:tcPr>
          <w:p w14:paraId="14B5A23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0.81 </w:t>
            </w:r>
          </w:p>
        </w:tc>
        <w:tc>
          <w:tcPr>
            <w:tcW w:w="401" w:type="pct"/>
            <w:shd w:val="clear" w:color="auto" w:fill="auto"/>
            <w:vAlign w:val="center"/>
          </w:tcPr>
          <w:p w14:paraId="4F2F3A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0.89 </w:t>
            </w:r>
          </w:p>
        </w:tc>
        <w:tc>
          <w:tcPr>
            <w:tcW w:w="401" w:type="pct"/>
            <w:shd w:val="clear" w:color="auto" w:fill="auto"/>
            <w:vAlign w:val="center"/>
          </w:tcPr>
          <w:p w14:paraId="37C109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0.81 </w:t>
            </w:r>
          </w:p>
        </w:tc>
      </w:tr>
      <w:tr w14:paraId="5927ED98">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418" w:type="pct"/>
            <w:vMerge w:val="continue"/>
            <w:shd w:val="clear" w:color="auto" w:fill="auto"/>
            <w:vAlign w:val="center"/>
          </w:tcPr>
          <w:p w14:paraId="3BDF3D8E">
            <w:pPr>
              <w:jc w:val="center"/>
              <w:rPr>
                <w:rFonts w:hint="eastAsia" w:ascii="Times New Roman" w:hAnsi="Times New Roman" w:eastAsia="仿宋_GB2312" w:cs="仿宋_GB2312"/>
                <w:i w:val="0"/>
                <w:iCs w:val="0"/>
                <w:color w:val="000000"/>
                <w:sz w:val="18"/>
                <w:szCs w:val="18"/>
                <w:u w:val="none"/>
              </w:rPr>
            </w:pPr>
          </w:p>
        </w:tc>
        <w:tc>
          <w:tcPr>
            <w:tcW w:w="626" w:type="pct"/>
            <w:vMerge w:val="continue"/>
            <w:shd w:val="clear" w:color="auto" w:fill="auto"/>
            <w:vAlign w:val="center"/>
          </w:tcPr>
          <w:p w14:paraId="6DE1F4CF">
            <w:pPr>
              <w:jc w:val="center"/>
              <w:rPr>
                <w:rFonts w:hint="eastAsia" w:ascii="Times New Roman" w:hAnsi="Times New Roman" w:eastAsia="仿宋_GB2312" w:cs="仿宋_GB2312"/>
                <w:i w:val="0"/>
                <w:iCs w:val="0"/>
                <w:color w:val="000000"/>
                <w:sz w:val="18"/>
                <w:szCs w:val="18"/>
                <w:u w:val="none"/>
              </w:rPr>
            </w:pPr>
          </w:p>
        </w:tc>
        <w:tc>
          <w:tcPr>
            <w:tcW w:w="1006" w:type="pct"/>
            <w:shd w:val="clear" w:color="auto" w:fill="auto"/>
            <w:vAlign w:val="center"/>
          </w:tcPr>
          <w:p w14:paraId="109C3E80">
            <w:pPr>
              <w:keepNext w:val="0"/>
              <w:keepLines w:val="0"/>
              <w:widowControl/>
              <w:suppressLineNumbers w:val="0"/>
              <w:jc w:val="center"/>
              <w:textAlignment w:val="center"/>
              <w:rPr>
                <w:rFonts w:hint="eastAsia"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标准偏差</w:t>
            </w:r>
            <w:r>
              <w:rPr>
                <w:rFonts w:hint="eastAsia" w:ascii="Times New Roman" w:hAnsi="Times New Roman"/>
                <w:i/>
                <w:iCs/>
                <w:sz w:val="18"/>
                <w:szCs w:val="18"/>
                <w:lang w:val="en-US" w:eastAsia="zh-CN"/>
              </w:rPr>
              <w:t>S</w:t>
            </w:r>
            <w:r>
              <w:rPr>
                <w:rFonts w:hint="eastAsia" w:ascii="Times New Roman" w:hAnsi="Times New Roman"/>
                <w:i/>
                <w:iCs/>
                <w:sz w:val="18"/>
                <w:szCs w:val="18"/>
                <w:vertAlign w:val="subscript"/>
                <w:lang w:val="en-US" w:eastAsia="zh-CN"/>
              </w:rPr>
              <w:t>r</w:t>
            </w:r>
          </w:p>
        </w:tc>
        <w:tc>
          <w:tcPr>
            <w:tcW w:w="401" w:type="pct"/>
            <w:shd w:val="clear" w:color="auto" w:fill="auto"/>
            <w:vAlign w:val="center"/>
          </w:tcPr>
          <w:p w14:paraId="30DFC6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0.39 </w:t>
            </w:r>
          </w:p>
        </w:tc>
        <w:tc>
          <w:tcPr>
            <w:tcW w:w="343" w:type="pct"/>
            <w:shd w:val="clear" w:color="auto" w:fill="auto"/>
            <w:vAlign w:val="center"/>
          </w:tcPr>
          <w:p w14:paraId="60D571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0.20 </w:t>
            </w:r>
          </w:p>
        </w:tc>
        <w:tc>
          <w:tcPr>
            <w:tcW w:w="401" w:type="pct"/>
            <w:shd w:val="clear" w:color="auto" w:fill="auto"/>
            <w:vAlign w:val="center"/>
          </w:tcPr>
          <w:p w14:paraId="1540F3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0.34 </w:t>
            </w:r>
          </w:p>
        </w:tc>
        <w:tc>
          <w:tcPr>
            <w:tcW w:w="401" w:type="pct"/>
            <w:shd w:val="clear" w:color="auto" w:fill="auto"/>
            <w:vAlign w:val="center"/>
          </w:tcPr>
          <w:p w14:paraId="7F02312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0.32 </w:t>
            </w:r>
          </w:p>
        </w:tc>
        <w:tc>
          <w:tcPr>
            <w:tcW w:w="401" w:type="pct"/>
            <w:shd w:val="clear" w:color="auto" w:fill="auto"/>
            <w:vAlign w:val="center"/>
          </w:tcPr>
          <w:p w14:paraId="1728DD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0.34 </w:t>
            </w:r>
          </w:p>
        </w:tc>
      </w:tr>
      <w:tr w14:paraId="6CA10B7F">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418" w:type="pct"/>
            <w:vMerge w:val="continue"/>
            <w:shd w:val="clear" w:color="auto" w:fill="auto"/>
            <w:vAlign w:val="center"/>
          </w:tcPr>
          <w:p w14:paraId="07E8D390">
            <w:pPr>
              <w:jc w:val="center"/>
              <w:rPr>
                <w:rFonts w:hint="eastAsia" w:ascii="Times New Roman" w:hAnsi="Times New Roman" w:eastAsia="仿宋_GB2312" w:cs="仿宋_GB2312"/>
                <w:i w:val="0"/>
                <w:iCs w:val="0"/>
                <w:color w:val="000000"/>
                <w:sz w:val="18"/>
                <w:szCs w:val="18"/>
                <w:u w:val="none"/>
              </w:rPr>
            </w:pPr>
          </w:p>
        </w:tc>
        <w:tc>
          <w:tcPr>
            <w:tcW w:w="626" w:type="pct"/>
            <w:vMerge w:val="restart"/>
            <w:shd w:val="clear" w:color="auto" w:fill="auto"/>
            <w:vAlign w:val="center"/>
          </w:tcPr>
          <w:p w14:paraId="14483B30">
            <w:pPr>
              <w:keepNext w:val="0"/>
              <w:keepLines w:val="0"/>
              <w:widowControl/>
              <w:suppressLineNumbers w:val="0"/>
              <w:jc w:val="center"/>
              <w:textAlignment w:val="center"/>
              <w:rPr>
                <w:rFonts w:hint="eastAsia"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实验室3</w:t>
            </w:r>
          </w:p>
        </w:tc>
        <w:tc>
          <w:tcPr>
            <w:tcW w:w="1006" w:type="pct"/>
            <w:shd w:val="clear" w:color="auto" w:fill="auto"/>
            <w:vAlign w:val="center"/>
          </w:tcPr>
          <w:p w14:paraId="26E811BD">
            <w:pPr>
              <w:keepNext w:val="0"/>
              <w:keepLines w:val="0"/>
              <w:widowControl/>
              <w:suppressLineNumbers w:val="0"/>
              <w:jc w:val="center"/>
              <w:textAlignment w:val="center"/>
              <w:rPr>
                <w:rFonts w:hint="eastAsia"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6次测试平均值</w:t>
            </w:r>
          </w:p>
        </w:tc>
        <w:tc>
          <w:tcPr>
            <w:tcW w:w="401" w:type="pct"/>
            <w:shd w:val="clear" w:color="auto" w:fill="auto"/>
            <w:vAlign w:val="center"/>
          </w:tcPr>
          <w:p w14:paraId="38FA72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27.23 </w:t>
            </w:r>
          </w:p>
        </w:tc>
        <w:tc>
          <w:tcPr>
            <w:tcW w:w="343" w:type="pct"/>
            <w:shd w:val="clear" w:color="auto" w:fill="auto"/>
            <w:vAlign w:val="center"/>
          </w:tcPr>
          <w:p w14:paraId="1E07CA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3.86 </w:t>
            </w:r>
          </w:p>
        </w:tc>
        <w:tc>
          <w:tcPr>
            <w:tcW w:w="401" w:type="pct"/>
            <w:shd w:val="clear" w:color="auto" w:fill="auto"/>
            <w:vAlign w:val="center"/>
          </w:tcPr>
          <w:p w14:paraId="7C1BCA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17.02 </w:t>
            </w:r>
          </w:p>
        </w:tc>
        <w:tc>
          <w:tcPr>
            <w:tcW w:w="401" w:type="pct"/>
            <w:shd w:val="clear" w:color="auto" w:fill="auto"/>
            <w:vAlign w:val="center"/>
          </w:tcPr>
          <w:p w14:paraId="1A465F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24.32 </w:t>
            </w:r>
          </w:p>
        </w:tc>
        <w:tc>
          <w:tcPr>
            <w:tcW w:w="401" w:type="pct"/>
            <w:shd w:val="clear" w:color="auto" w:fill="auto"/>
            <w:vAlign w:val="center"/>
          </w:tcPr>
          <w:p w14:paraId="140B8AE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18.17 </w:t>
            </w:r>
          </w:p>
        </w:tc>
      </w:tr>
      <w:tr w14:paraId="60955BC4">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418" w:type="pct"/>
            <w:vMerge w:val="continue"/>
            <w:shd w:val="clear" w:color="auto" w:fill="auto"/>
            <w:vAlign w:val="center"/>
          </w:tcPr>
          <w:p w14:paraId="711652AA">
            <w:pPr>
              <w:jc w:val="center"/>
              <w:rPr>
                <w:rFonts w:hint="eastAsia" w:ascii="Times New Roman" w:hAnsi="Times New Roman" w:eastAsia="仿宋_GB2312" w:cs="仿宋_GB2312"/>
                <w:i w:val="0"/>
                <w:iCs w:val="0"/>
                <w:color w:val="000000"/>
                <w:sz w:val="18"/>
                <w:szCs w:val="18"/>
                <w:u w:val="none"/>
              </w:rPr>
            </w:pPr>
          </w:p>
        </w:tc>
        <w:tc>
          <w:tcPr>
            <w:tcW w:w="626" w:type="pct"/>
            <w:vMerge w:val="continue"/>
            <w:shd w:val="clear" w:color="auto" w:fill="auto"/>
            <w:vAlign w:val="center"/>
          </w:tcPr>
          <w:p w14:paraId="2E483363">
            <w:pPr>
              <w:jc w:val="center"/>
              <w:rPr>
                <w:rFonts w:hint="eastAsia" w:ascii="Times New Roman" w:hAnsi="Times New Roman" w:eastAsia="仿宋_GB2312" w:cs="仿宋_GB2312"/>
                <w:i w:val="0"/>
                <w:iCs w:val="0"/>
                <w:color w:val="000000"/>
                <w:sz w:val="18"/>
                <w:szCs w:val="18"/>
                <w:u w:val="none"/>
              </w:rPr>
            </w:pPr>
          </w:p>
        </w:tc>
        <w:tc>
          <w:tcPr>
            <w:tcW w:w="1006" w:type="pct"/>
            <w:shd w:val="clear" w:color="auto" w:fill="auto"/>
            <w:vAlign w:val="center"/>
          </w:tcPr>
          <w:p w14:paraId="0FE55C57">
            <w:pPr>
              <w:keepNext w:val="0"/>
              <w:keepLines w:val="0"/>
              <w:widowControl/>
              <w:suppressLineNumbers w:val="0"/>
              <w:jc w:val="center"/>
              <w:textAlignment w:val="center"/>
              <w:rPr>
                <w:rFonts w:hint="eastAsia"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极差</w:t>
            </w:r>
          </w:p>
        </w:tc>
        <w:tc>
          <w:tcPr>
            <w:tcW w:w="401" w:type="pct"/>
            <w:shd w:val="clear" w:color="auto" w:fill="auto"/>
            <w:vAlign w:val="center"/>
          </w:tcPr>
          <w:p w14:paraId="53D509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0.79 </w:t>
            </w:r>
          </w:p>
        </w:tc>
        <w:tc>
          <w:tcPr>
            <w:tcW w:w="343" w:type="pct"/>
            <w:shd w:val="clear" w:color="auto" w:fill="auto"/>
            <w:vAlign w:val="center"/>
          </w:tcPr>
          <w:p w14:paraId="01BC19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0.68 </w:t>
            </w:r>
          </w:p>
        </w:tc>
        <w:tc>
          <w:tcPr>
            <w:tcW w:w="401" w:type="pct"/>
            <w:shd w:val="clear" w:color="auto" w:fill="auto"/>
            <w:vAlign w:val="center"/>
          </w:tcPr>
          <w:p w14:paraId="768977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0.66 </w:t>
            </w:r>
          </w:p>
        </w:tc>
        <w:tc>
          <w:tcPr>
            <w:tcW w:w="401" w:type="pct"/>
            <w:shd w:val="clear" w:color="auto" w:fill="auto"/>
            <w:vAlign w:val="center"/>
          </w:tcPr>
          <w:p w14:paraId="23127CC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0.85 </w:t>
            </w:r>
          </w:p>
        </w:tc>
        <w:tc>
          <w:tcPr>
            <w:tcW w:w="401" w:type="pct"/>
            <w:shd w:val="clear" w:color="auto" w:fill="auto"/>
            <w:vAlign w:val="center"/>
          </w:tcPr>
          <w:p w14:paraId="76C284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0.75 </w:t>
            </w:r>
          </w:p>
        </w:tc>
      </w:tr>
      <w:tr w14:paraId="40BF781B">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418" w:type="pct"/>
            <w:vMerge w:val="continue"/>
            <w:shd w:val="clear" w:color="auto" w:fill="auto"/>
            <w:vAlign w:val="center"/>
          </w:tcPr>
          <w:p w14:paraId="50D225DF">
            <w:pPr>
              <w:jc w:val="center"/>
              <w:rPr>
                <w:rFonts w:hint="eastAsia" w:ascii="Times New Roman" w:hAnsi="Times New Roman" w:eastAsia="仿宋_GB2312" w:cs="仿宋_GB2312"/>
                <w:i w:val="0"/>
                <w:iCs w:val="0"/>
                <w:color w:val="000000"/>
                <w:sz w:val="18"/>
                <w:szCs w:val="18"/>
                <w:u w:val="none"/>
              </w:rPr>
            </w:pPr>
          </w:p>
        </w:tc>
        <w:tc>
          <w:tcPr>
            <w:tcW w:w="626" w:type="pct"/>
            <w:vMerge w:val="continue"/>
            <w:shd w:val="clear" w:color="auto" w:fill="auto"/>
            <w:vAlign w:val="center"/>
          </w:tcPr>
          <w:p w14:paraId="67522189">
            <w:pPr>
              <w:jc w:val="center"/>
              <w:rPr>
                <w:rFonts w:hint="eastAsia" w:ascii="Times New Roman" w:hAnsi="Times New Roman" w:eastAsia="仿宋_GB2312" w:cs="仿宋_GB2312"/>
                <w:i w:val="0"/>
                <w:iCs w:val="0"/>
                <w:color w:val="000000"/>
                <w:sz w:val="18"/>
                <w:szCs w:val="18"/>
                <w:u w:val="none"/>
              </w:rPr>
            </w:pPr>
          </w:p>
        </w:tc>
        <w:tc>
          <w:tcPr>
            <w:tcW w:w="1006" w:type="pct"/>
            <w:shd w:val="clear" w:color="auto" w:fill="auto"/>
            <w:vAlign w:val="center"/>
          </w:tcPr>
          <w:p w14:paraId="4D6ADB9D">
            <w:pPr>
              <w:keepNext w:val="0"/>
              <w:keepLines w:val="0"/>
              <w:widowControl/>
              <w:suppressLineNumbers w:val="0"/>
              <w:jc w:val="center"/>
              <w:textAlignment w:val="center"/>
              <w:rPr>
                <w:rFonts w:hint="eastAsia"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标准偏差</w:t>
            </w:r>
            <w:r>
              <w:rPr>
                <w:rFonts w:hint="eastAsia" w:ascii="Times New Roman" w:hAnsi="Times New Roman"/>
                <w:i/>
                <w:iCs/>
                <w:sz w:val="18"/>
                <w:szCs w:val="18"/>
                <w:lang w:val="en-US" w:eastAsia="zh-CN"/>
              </w:rPr>
              <w:t>S</w:t>
            </w:r>
            <w:r>
              <w:rPr>
                <w:rFonts w:hint="eastAsia" w:ascii="Times New Roman" w:hAnsi="Times New Roman"/>
                <w:i/>
                <w:iCs/>
                <w:sz w:val="18"/>
                <w:szCs w:val="18"/>
                <w:vertAlign w:val="subscript"/>
                <w:lang w:val="en-US" w:eastAsia="zh-CN"/>
              </w:rPr>
              <w:t>r</w:t>
            </w:r>
          </w:p>
        </w:tc>
        <w:tc>
          <w:tcPr>
            <w:tcW w:w="401" w:type="pct"/>
            <w:shd w:val="clear" w:color="auto" w:fill="auto"/>
            <w:vAlign w:val="center"/>
          </w:tcPr>
          <w:p w14:paraId="133BB36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0.31 </w:t>
            </w:r>
          </w:p>
        </w:tc>
        <w:tc>
          <w:tcPr>
            <w:tcW w:w="343" w:type="pct"/>
            <w:shd w:val="clear" w:color="auto" w:fill="auto"/>
            <w:vAlign w:val="center"/>
          </w:tcPr>
          <w:p w14:paraId="68E8E8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0.28 </w:t>
            </w:r>
          </w:p>
        </w:tc>
        <w:tc>
          <w:tcPr>
            <w:tcW w:w="401" w:type="pct"/>
            <w:shd w:val="clear" w:color="auto" w:fill="auto"/>
            <w:vAlign w:val="center"/>
          </w:tcPr>
          <w:p w14:paraId="363790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0.24 </w:t>
            </w:r>
          </w:p>
        </w:tc>
        <w:tc>
          <w:tcPr>
            <w:tcW w:w="401" w:type="pct"/>
            <w:shd w:val="clear" w:color="auto" w:fill="auto"/>
            <w:vAlign w:val="center"/>
          </w:tcPr>
          <w:p w14:paraId="4BB5D73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0.34 </w:t>
            </w:r>
          </w:p>
        </w:tc>
        <w:tc>
          <w:tcPr>
            <w:tcW w:w="401" w:type="pct"/>
            <w:shd w:val="clear" w:color="auto" w:fill="auto"/>
            <w:vAlign w:val="center"/>
          </w:tcPr>
          <w:p w14:paraId="3E1313F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0.28 </w:t>
            </w:r>
          </w:p>
        </w:tc>
      </w:tr>
      <w:tr w14:paraId="1FC246F8">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418" w:type="pct"/>
            <w:vMerge w:val="continue"/>
            <w:shd w:val="clear" w:color="auto" w:fill="auto"/>
            <w:vAlign w:val="center"/>
          </w:tcPr>
          <w:p w14:paraId="73135769">
            <w:pPr>
              <w:jc w:val="center"/>
              <w:rPr>
                <w:rFonts w:hint="eastAsia" w:ascii="Times New Roman" w:hAnsi="Times New Roman" w:eastAsia="仿宋_GB2312" w:cs="仿宋_GB2312"/>
                <w:i w:val="0"/>
                <w:iCs w:val="0"/>
                <w:color w:val="000000"/>
                <w:sz w:val="18"/>
                <w:szCs w:val="18"/>
                <w:u w:val="none"/>
              </w:rPr>
            </w:pPr>
          </w:p>
        </w:tc>
        <w:tc>
          <w:tcPr>
            <w:tcW w:w="626" w:type="pct"/>
            <w:vMerge w:val="restart"/>
            <w:shd w:val="clear" w:color="auto" w:fill="auto"/>
            <w:vAlign w:val="center"/>
          </w:tcPr>
          <w:p w14:paraId="1DFDB400">
            <w:pPr>
              <w:keepNext w:val="0"/>
              <w:keepLines w:val="0"/>
              <w:widowControl/>
              <w:suppressLineNumbers w:val="0"/>
              <w:jc w:val="center"/>
              <w:textAlignment w:val="center"/>
              <w:rPr>
                <w:rFonts w:hint="eastAsia"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实验室4</w:t>
            </w:r>
          </w:p>
        </w:tc>
        <w:tc>
          <w:tcPr>
            <w:tcW w:w="1006" w:type="pct"/>
            <w:shd w:val="clear" w:color="auto" w:fill="auto"/>
            <w:vAlign w:val="center"/>
          </w:tcPr>
          <w:p w14:paraId="2758283F">
            <w:pPr>
              <w:keepNext w:val="0"/>
              <w:keepLines w:val="0"/>
              <w:widowControl/>
              <w:suppressLineNumbers w:val="0"/>
              <w:jc w:val="center"/>
              <w:textAlignment w:val="center"/>
              <w:rPr>
                <w:rFonts w:hint="eastAsia"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6次测试平均值</w:t>
            </w:r>
          </w:p>
        </w:tc>
        <w:tc>
          <w:tcPr>
            <w:tcW w:w="401" w:type="pct"/>
            <w:shd w:val="clear" w:color="auto" w:fill="auto"/>
            <w:vAlign w:val="center"/>
          </w:tcPr>
          <w:p w14:paraId="5B10B27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27.01 </w:t>
            </w:r>
          </w:p>
        </w:tc>
        <w:tc>
          <w:tcPr>
            <w:tcW w:w="343" w:type="pct"/>
            <w:shd w:val="clear" w:color="auto" w:fill="auto"/>
            <w:vAlign w:val="center"/>
          </w:tcPr>
          <w:p w14:paraId="34CA67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3.77 </w:t>
            </w:r>
          </w:p>
        </w:tc>
        <w:tc>
          <w:tcPr>
            <w:tcW w:w="401" w:type="pct"/>
            <w:shd w:val="clear" w:color="auto" w:fill="auto"/>
            <w:vAlign w:val="center"/>
          </w:tcPr>
          <w:p w14:paraId="6AC00C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17.08 </w:t>
            </w:r>
          </w:p>
        </w:tc>
        <w:tc>
          <w:tcPr>
            <w:tcW w:w="401" w:type="pct"/>
            <w:shd w:val="clear" w:color="auto" w:fill="auto"/>
            <w:vAlign w:val="center"/>
          </w:tcPr>
          <w:p w14:paraId="0CCD79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24.08 </w:t>
            </w:r>
          </w:p>
        </w:tc>
        <w:tc>
          <w:tcPr>
            <w:tcW w:w="401" w:type="pct"/>
            <w:shd w:val="clear" w:color="auto" w:fill="auto"/>
            <w:vAlign w:val="center"/>
          </w:tcPr>
          <w:p w14:paraId="7AAB73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18.31 </w:t>
            </w:r>
          </w:p>
        </w:tc>
      </w:tr>
      <w:tr w14:paraId="5FA98D6E">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trPr>
        <w:tc>
          <w:tcPr>
            <w:tcW w:w="1418" w:type="pct"/>
            <w:vMerge w:val="continue"/>
            <w:shd w:val="clear" w:color="auto" w:fill="auto"/>
            <w:vAlign w:val="center"/>
          </w:tcPr>
          <w:p w14:paraId="435F6075">
            <w:pPr>
              <w:jc w:val="center"/>
              <w:rPr>
                <w:rFonts w:hint="eastAsia" w:ascii="Times New Roman" w:hAnsi="Times New Roman" w:eastAsia="仿宋_GB2312" w:cs="仿宋_GB2312"/>
                <w:i w:val="0"/>
                <w:iCs w:val="0"/>
                <w:color w:val="000000"/>
                <w:sz w:val="18"/>
                <w:szCs w:val="18"/>
                <w:u w:val="none"/>
              </w:rPr>
            </w:pPr>
          </w:p>
        </w:tc>
        <w:tc>
          <w:tcPr>
            <w:tcW w:w="626" w:type="pct"/>
            <w:vMerge w:val="continue"/>
            <w:shd w:val="clear" w:color="auto" w:fill="auto"/>
            <w:vAlign w:val="center"/>
          </w:tcPr>
          <w:p w14:paraId="16D92B14">
            <w:pPr>
              <w:jc w:val="center"/>
              <w:rPr>
                <w:rFonts w:hint="eastAsia" w:ascii="Times New Roman" w:hAnsi="Times New Roman" w:eastAsia="仿宋_GB2312" w:cs="仿宋_GB2312"/>
                <w:i w:val="0"/>
                <w:iCs w:val="0"/>
                <w:color w:val="000000"/>
                <w:sz w:val="18"/>
                <w:szCs w:val="18"/>
                <w:u w:val="none"/>
              </w:rPr>
            </w:pPr>
          </w:p>
        </w:tc>
        <w:tc>
          <w:tcPr>
            <w:tcW w:w="1006" w:type="pct"/>
            <w:shd w:val="clear" w:color="auto" w:fill="auto"/>
            <w:vAlign w:val="center"/>
          </w:tcPr>
          <w:p w14:paraId="57C4BD9C">
            <w:pPr>
              <w:keepNext w:val="0"/>
              <w:keepLines w:val="0"/>
              <w:widowControl/>
              <w:suppressLineNumbers w:val="0"/>
              <w:jc w:val="center"/>
              <w:textAlignment w:val="center"/>
              <w:rPr>
                <w:rFonts w:hint="eastAsia"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极差</w:t>
            </w:r>
          </w:p>
        </w:tc>
        <w:tc>
          <w:tcPr>
            <w:tcW w:w="401" w:type="pct"/>
            <w:shd w:val="clear" w:color="auto" w:fill="auto"/>
            <w:vAlign w:val="center"/>
          </w:tcPr>
          <w:p w14:paraId="3679F25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0.60 </w:t>
            </w:r>
          </w:p>
        </w:tc>
        <w:tc>
          <w:tcPr>
            <w:tcW w:w="343" w:type="pct"/>
            <w:shd w:val="clear" w:color="auto" w:fill="auto"/>
            <w:vAlign w:val="center"/>
          </w:tcPr>
          <w:p w14:paraId="24B75E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0.88 </w:t>
            </w:r>
          </w:p>
        </w:tc>
        <w:tc>
          <w:tcPr>
            <w:tcW w:w="401" w:type="pct"/>
            <w:shd w:val="clear" w:color="auto" w:fill="auto"/>
            <w:vAlign w:val="center"/>
          </w:tcPr>
          <w:p w14:paraId="25FC215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0.66 </w:t>
            </w:r>
          </w:p>
        </w:tc>
        <w:tc>
          <w:tcPr>
            <w:tcW w:w="401" w:type="pct"/>
            <w:shd w:val="clear" w:color="auto" w:fill="auto"/>
            <w:vAlign w:val="center"/>
          </w:tcPr>
          <w:p w14:paraId="0534BE9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0.73 </w:t>
            </w:r>
          </w:p>
        </w:tc>
        <w:tc>
          <w:tcPr>
            <w:tcW w:w="401" w:type="pct"/>
            <w:shd w:val="clear" w:color="auto" w:fill="auto"/>
            <w:vAlign w:val="center"/>
          </w:tcPr>
          <w:p w14:paraId="3A73405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0.59 </w:t>
            </w:r>
          </w:p>
        </w:tc>
      </w:tr>
      <w:tr w14:paraId="0D71CDA7">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418" w:type="pct"/>
            <w:vMerge w:val="continue"/>
            <w:shd w:val="clear" w:color="auto" w:fill="auto"/>
            <w:vAlign w:val="center"/>
          </w:tcPr>
          <w:p w14:paraId="3751CE61">
            <w:pPr>
              <w:jc w:val="center"/>
              <w:rPr>
                <w:rFonts w:hint="eastAsia" w:ascii="Times New Roman" w:hAnsi="Times New Roman" w:eastAsia="仿宋_GB2312" w:cs="仿宋_GB2312"/>
                <w:i w:val="0"/>
                <w:iCs w:val="0"/>
                <w:color w:val="000000"/>
                <w:sz w:val="18"/>
                <w:szCs w:val="18"/>
                <w:u w:val="none"/>
              </w:rPr>
            </w:pPr>
          </w:p>
        </w:tc>
        <w:tc>
          <w:tcPr>
            <w:tcW w:w="626" w:type="pct"/>
            <w:vMerge w:val="continue"/>
            <w:shd w:val="clear" w:color="auto" w:fill="auto"/>
            <w:vAlign w:val="center"/>
          </w:tcPr>
          <w:p w14:paraId="1C2BB1CF">
            <w:pPr>
              <w:jc w:val="center"/>
              <w:rPr>
                <w:rFonts w:hint="eastAsia" w:ascii="Times New Roman" w:hAnsi="Times New Roman" w:eastAsia="仿宋_GB2312" w:cs="仿宋_GB2312"/>
                <w:i w:val="0"/>
                <w:iCs w:val="0"/>
                <w:color w:val="000000"/>
                <w:sz w:val="18"/>
                <w:szCs w:val="18"/>
                <w:u w:val="none"/>
              </w:rPr>
            </w:pPr>
          </w:p>
        </w:tc>
        <w:tc>
          <w:tcPr>
            <w:tcW w:w="1006" w:type="pct"/>
            <w:shd w:val="clear" w:color="auto" w:fill="auto"/>
            <w:vAlign w:val="center"/>
          </w:tcPr>
          <w:p w14:paraId="0BD0C75B">
            <w:pPr>
              <w:keepNext w:val="0"/>
              <w:keepLines w:val="0"/>
              <w:widowControl/>
              <w:suppressLineNumbers w:val="0"/>
              <w:jc w:val="center"/>
              <w:textAlignment w:val="center"/>
              <w:rPr>
                <w:rFonts w:hint="eastAsia" w:ascii="Times New Roman" w:hAnsi="Times New Roman" w:eastAsia="仿宋_GB2312" w:cs="仿宋_GB2312"/>
                <w:i w:val="0"/>
                <w:iCs w:val="0"/>
                <w:color w:val="000000"/>
                <w:sz w:val="18"/>
                <w:szCs w:val="18"/>
                <w:u w:val="none"/>
              </w:rPr>
            </w:pPr>
            <w:r>
              <w:rPr>
                <w:rFonts w:hint="eastAsia" w:ascii="Times New Roman" w:hAnsi="Times New Roman" w:eastAsia="仿宋_GB2312" w:cs="仿宋_GB2312"/>
                <w:i w:val="0"/>
                <w:iCs w:val="0"/>
                <w:color w:val="000000"/>
                <w:kern w:val="0"/>
                <w:sz w:val="18"/>
                <w:szCs w:val="18"/>
                <w:u w:val="none"/>
                <w:lang w:val="en-US" w:eastAsia="zh-CN" w:bidi="ar"/>
              </w:rPr>
              <w:t>标准偏差</w:t>
            </w:r>
            <w:r>
              <w:rPr>
                <w:rFonts w:hint="eastAsia" w:ascii="Times New Roman" w:hAnsi="Times New Roman"/>
                <w:i/>
                <w:iCs/>
                <w:sz w:val="18"/>
                <w:szCs w:val="18"/>
                <w:lang w:val="en-US" w:eastAsia="zh-CN"/>
              </w:rPr>
              <w:t>S</w:t>
            </w:r>
            <w:r>
              <w:rPr>
                <w:rFonts w:hint="eastAsia" w:ascii="Times New Roman" w:hAnsi="Times New Roman"/>
                <w:i/>
                <w:iCs/>
                <w:sz w:val="18"/>
                <w:szCs w:val="18"/>
                <w:vertAlign w:val="subscript"/>
                <w:lang w:val="en-US" w:eastAsia="zh-CN"/>
              </w:rPr>
              <w:t>r</w:t>
            </w:r>
          </w:p>
        </w:tc>
        <w:tc>
          <w:tcPr>
            <w:tcW w:w="401" w:type="pct"/>
            <w:shd w:val="clear" w:color="auto" w:fill="auto"/>
            <w:vAlign w:val="center"/>
          </w:tcPr>
          <w:p w14:paraId="0518B3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0.24 </w:t>
            </w:r>
          </w:p>
        </w:tc>
        <w:tc>
          <w:tcPr>
            <w:tcW w:w="343" w:type="pct"/>
            <w:shd w:val="clear" w:color="auto" w:fill="auto"/>
            <w:vAlign w:val="center"/>
          </w:tcPr>
          <w:p w14:paraId="4A0084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0.34 </w:t>
            </w:r>
          </w:p>
        </w:tc>
        <w:tc>
          <w:tcPr>
            <w:tcW w:w="401" w:type="pct"/>
            <w:shd w:val="clear" w:color="auto" w:fill="auto"/>
            <w:vAlign w:val="center"/>
          </w:tcPr>
          <w:p w14:paraId="2B23335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0.30 </w:t>
            </w:r>
          </w:p>
        </w:tc>
        <w:tc>
          <w:tcPr>
            <w:tcW w:w="401" w:type="pct"/>
            <w:shd w:val="clear" w:color="auto" w:fill="auto"/>
            <w:vAlign w:val="center"/>
          </w:tcPr>
          <w:p w14:paraId="71C510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0.30 </w:t>
            </w:r>
          </w:p>
        </w:tc>
        <w:tc>
          <w:tcPr>
            <w:tcW w:w="401" w:type="pct"/>
            <w:shd w:val="clear" w:color="auto" w:fill="auto"/>
            <w:vAlign w:val="center"/>
          </w:tcPr>
          <w:p w14:paraId="42EBD5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0.27 </w:t>
            </w:r>
          </w:p>
        </w:tc>
      </w:tr>
      <w:tr w14:paraId="062811AF">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418" w:type="pct"/>
            <w:vMerge w:val="continue"/>
            <w:shd w:val="clear" w:color="auto" w:fill="auto"/>
            <w:vAlign w:val="center"/>
          </w:tcPr>
          <w:p w14:paraId="718001B7">
            <w:pPr>
              <w:jc w:val="center"/>
              <w:rPr>
                <w:rFonts w:hint="eastAsia" w:ascii="Times New Roman" w:hAnsi="Times New Roman" w:eastAsia="仿宋_GB2312" w:cs="仿宋_GB2312"/>
                <w:i w:val="0"/>
                <w:iCs w:val="0"/>
                <w:color w:val="000000"/>
                <w:sz w:val="18"/>
                <w:szCs w:val="18"/>
                <w:u w:val="none"/>
              </w:rPr>
            </w:pPr>
          </w:p>
        </w:tc>
        <w:tc>
          <w:tcPr>
            <w:tcW w:w="1632" w:type="pct"/>
            <w:gridSpan w:val="2"/>
            <w:shd w:val="clear" w:color="auto" w:fill="auto"/>
            <w:vAlign w:val="center"/>
          </w:tcPr>
          <w:p w14:paraId="079600BF">
            <w:pPr>
              <w:keepNext w:val="0"/>
              <w:keepLines w:val="0"/>
              <w:widowControl/>
              <w:suppressLineNumbers w:val="0"/>
              <w:jc w:val="center"/>
              <w:textAlignment w:val="center"/>
              <w:rPr>
                <w:rFonts w:hint="eastAsia" w:ascii="Times New Roman" w:hAnsi="Times New Roman" w:eastAsia="仿宋_GB2312" w:cs="仿宋_GB2312"/>
                <w:i w:val="0"/>
                <w:iCs w:val="0"/>
                <w:color w:val="000000"/>
                <w:kern w:val="0"/>
                <w:sz w:val="18"/>
                <w:szCs w:val="18"/>
                <w:u w:val="none"/>
                <w:lang w:val="en-US" w:eastAsia="zh-CN" w:bidi="ar"/>
              </w:rPr>
            </w:pPr>
            <w:r>
              <w:rPr>
                <w:rFonts w:hint="eastAsia" w:ascii="Times New Roman" w:hAnsi="Times New Roman" w:eastAsia="宋体"/>
                <w:i/>
                <w:iCs/>
                <w:sz w:val="18"/>
                <w:szCs w:val="18"/>
                <w:lang w:val="en-US" w:eastAsia="zh-CN"/>
              </w:rPr>
              <w:t>S</w:t>
            </w:r>
            <w:r>
              <w:rPr>
                <w:rFonts w:hint="eastAsia" w:ascii="Times New Roman" w:hAnsi="Times New Roman" w:eastAsia="宋体"/>
                <w:i/>
                <w:iCs/>
                <w:sz w:val="18"/>
                <w:szCs w:val="18"/>
                <w:vertAlign w:val="subscript"/>
                <w:lang w:val="en-US" w:eastAsia="zh-CN"/>
              </w:rPr>
              <w:t>R</w:t>
            </w:r>
          </w:p>
        </w:tc>
        <w:tc>
          <w:tcPr>
            <w:tcW w:w="401" w:type="pct"/>
            <w:shd w:val="clear" w:color="auto" w:fill="auto"/>
            <w:vAlign w:val="center"/>
          </w:tcPr>
          <w:p w14:paraId="7573740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0.31</w:t>
            </w:r>
          </w:p>
        </w:tc>
        <w:tc>
          <w:tcPr>
            <w:tcW w:w="343" w:type="pct"/>
            <w:shd w:val="clear" w:color="auto" w:fill="auto"/>
            <w:vAlign w:val="center"/>
          </w:tcPr>
          <w:p w14:paraId="72B8F7D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0.30</w:t>
            </w:r>
          </w:p>
        </w:tc>
        <w:tc>
          <w:tcPr>
            <w:tcW w:w="401" w:type="pct"/>
            <w:shd w:val="clear" w:color="auto" w:fill="auto"/>
            <w:vAlign w:val="center"/>
          </w:tcPr>
          <w:p w14:paraId="00F2994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0.29</w:t>
            </w:r>
          </w:p>
        </w:tc>
        <w:tc>
          <w:tcPr>
            <w:tcW w:w="401" w:type="pct"/>
            <w:shd w:val="clear" w:color="auto" w:fill="auto"/>
            <w:vAlign w:val="center"/>
          </w:tcPr>
          <w:p w14:paraId="2766EE0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0.40</w:t>
            </w:r>
          </w:p>
        </w:tc>
        <w:tc>
          <w:tcPr>
            <w:tcW w:w="401" w:type="pct"/>
            <w:shd w:val="clear" w:color="auto" w:fill="auto"/>
            <w:vAlign w:val="center"/>
          </w:tcPr>
          <w:p w14:paraId="39B34A8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0.34</w:t>
            </w:r>
          </w:p>
        </w:tc>
      </w:tr>
    </w:tbl>
    <w:p w14:paraId="105EBB08">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default" w:ascii="Times New Roman" w:hAnsi="Times New Roman" w:eastAsia="仿宋_GB2312" w:cs="仿宋_GB2312"/>
          <w:color w:val="000000" w:themeColor="text1"/>
          <w:sz w:val="21"/>
          <w:szCs w:val="21"/>
          <w:lang w:val="en-US" w:eastAsia="zh-CN"/>
          <w14:textFill>
            <w14:solidFill>
              <w14:schemeClr w14:val="tx1"/>
            </w14:solidFill>
          </w14:textFill>
        </w:rPr>
        <w:sectPr>
          <w:pgSz w:w="11906" w:h="16838"/>
          <w:pgMar w:top="2098" w:right="1474" w:bottom="1984" w:left="1587" w:header="851" w:footer="992" w:gutter="0"/>
          <w:pgBorders>
            <w:top w:val="none" w:sz="0" w:space="0"/>
            <w:left w:val="none" w:sz="0" w:space="0"/>
            <w:bottom w:val="none" w:sz="0" w:space="0"/>
            <w:right w:val="none" w:sz="0" w:space="0"/>
          </w:pgBorders>
          <w:cols w:space="0" w:num="1"/>
          <w:rtlGutter w:val="0"/>
          <w:docGrid w:type="lines" w:linePitch="315" w:charSpace="0"/>
        </w:sectPr>
      </w:pPr>
      <w:r>
        <w:rPr>
          <w:rFonts w:hint="eastAsia" w:ascii="Times New Roman" w:hAnsi="Times New Roman" w:eastAsia="仿宋_GB2312" w:cs="仿宋_GB2312"/>
          <w:color w:val="000000" w:themeColor="text1"/>
          <w:sz w:val="21"/>
          <w:szCs w:val="21"/>
          <w:lang w:val="en-US" w:eastAsia="zh-CN"/>
          <w14:textFill>
            <w14:solidFill>
              <w14:schemeClr w14:val="tx1"/>
            </w14:solidFill>
          </w14:textFill>
        </w:rPr>
        <w:t>注：受条件限制，实验室间的设备难以统一，特别是国产设备。本验证试验所用仪器均为起草组提供的同一套设备。</w:t>
      </w:r>
    </w:p>
    <w:p w14:paraId="695277F1">
      <w:pPr>
        <w:keepNext w:val="0"/>
        <w:keepLines w:val="0"/>
        <w:pageBreakBefore w:val="0"/>
        <w:widowControl w:val="0"/>
        <w:kinsoku/>
        <w:wordWrap/>
        <w:overflowPunct/>
        <w:topLinePunct w:val="0"/>
        <w:bidi w:val="0"/>
        <w:adjustRightInd/>
        <w:snapToGrid/>
        <w:spacing w:line="600" w:lineRule="exact"/>
        <w:ind w:firstLine="643" w:firstLineChars="200"/>
        <w:jc w:val="left"/>
        <w:rPr>
          <w:rFonts w:ascii="Times New Roman" w:hAnsi="Times New Roman" w:eastAsia="黑体" w:cs="黑体"/>
          <w:b/>
          <w:bCs/>
          <w:color w:val="000000" w:themeColor="text1"/>
          <w:sz w:val="32"/>
          <w:szCs w:val="32"/>
          <w14:textFill>
            <w14:solidFill>
              <w14:schemeClr w14:val="tx1"/>
            </w14:solidFill>
          </w14:textFill>
        </w:rPr>
      </w:pPr>
      <w:r>
        <w:rPr>
          <w:rFonts w:hint="eastAsia" w:ascii="Times New Roman" w:hAnsi="Times New Roman" w:eastAsia="黑体" w:cs="黑体"/>
          <w:b/>
          <w:bCs/>
          <w:color w:val="000000" w:themeColor="text1"/>
          <w:sz w:val="32"/>
          <w:szCs w:val="32"/>
          <w14:textFill>
            <w14:solidFill>
              <w14:schemeClr w14:val="tx1"/>
            </w14:solidFill>
          </w14:textFill>
        </w:rPr>
        <w:t>七、征求意见处理结果</w:t>
      </w:r>
    </w:p>
    <w:p w14:paraId="24E3FAC1">
      <w:pPr>
        <w:keepNext w:val="0"/>
        <w:keepLines w:val="0"/>
        <w:pageBreakBefore w:val="0"/>
        <w:widowControl w:val="0"/>
        <w:kinsoku/>
        <w:wordWrap/>
        <w:overflowPunct/>
        <w:topLinePunct w:val="0"/>
        <w:bidi w:val="0"/>
        <w:adjustRightInd/>
        <w:snapToGrid/>
        <w:spacing w:line="600" w:lineRule="exact"/>
        <w:ind w:firstLine="640" w:firstLineChars="200"/>
        <w:jc w:val="left"/>
        <w:rPr>
          <w:rFonts w:hint="eastAsia" w:ascii="Times New Roman" w:hAnsi="Times New Roman" w:eastAsia="仿宋_GB2312" w:cs="仿宋_GB2312"/>
          <w:b w:val="0"/>
          <w:bCs w:val="0"/>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b w:val="0"/>
          <w:bCs w:val="0"/>
          <w:color w:val="000000" w:themeColor="text1"/>
          <w:sz w:val="32"/>
          <w:szCs w:val="32"/>
          <w:lang w:val="en-US" w:eastAsia="zh-CN"/>
          <w14:textFill>
            <w14:solidFill>
              <w14:schemeClr w14:val="tx1"/>
            </w14:solidFill>
          </w14:textFill>
        </w:rPr>
        <w:t>/</w:t>
      </w:r>
    </w:p>
    <w:p w14:paraId="58BBFCE0">
      <w:pPr>
        <w:keepNext w:val="0"/>
        <w:keepLines w:val="0"/>
        <w:pageBreakBefore w:val="0"/>
        <w:widowControl w:val="0"/>
        <w:kinsoku/>
        <w:wordWrap/>
        <w:overflowPunct/>
        <w:topLinePunct w:val="0"/>
        <w:bidi w:val="0"/>
        <w:adjustRightInd/>
        <w:snapToGrid/>
        <w:spacing w:line="600" w:lineRule="exact"/>
        <w:ind w:firstLine="643" w:firstLineChars="200"/>
        <w:jc w:val="left"/>
        <w:rPr>
          <w:rFonts w:ascii="Times New Roman" w:hAnsi="Times New Roman" w:eastAsia="黑体" w:cs="黑体"/>
          <w:b/>
          <w:bCs/>
          <w:color w:val="000000" w:themeColor="text1"/>
          <w:sz w:val="32"/>
          <w:szCs w:val="32"/>
          <w14:textFill>
            <w14:solidFill>
              <w14:schemeClr w14:val="tx1"/>
            </w14:solidFill>
          </w14:textFill>
        </w:rPr>
      </w:pPr>
      <w:r>
        <w:rPr>
          <w:rFonts w:hint="eastAsia" w:ascii="Times New Roman" w:hAnsi="Times New Roman" w:eastAsia="黑体" w:cs="黑体"/>
          <w:b/>
          <w:bCs/>
          <w:color w:val="000000" w:themeColor="text1"/>
          <w:sz w:val="32"/>
          <w:szCs w:val="32"/>
          <w14:textFill>
            <w14:solidFill>
              <w14:schemeClr w14:val="tx1"/>
            </w14:solidFill>
          </w14:textFill>
        </w:rPr>
        <w:t>八、标准实施建议</w:t>
      </w:r>
    </w:p>
    <w:p w14:paraId="6F25190B">
      <w:pPr>
        <w:keepNext w:val="0"/>
        <w:keepLines w:val="0"/>
        <w:pageBreakBefore w:val="0"/>
        <w:widowControl w:val="0"/>
        <w:kinsoku/>
        <w:wordWrap/>
        <w:overflowPunct/>
        <w:topLinePunct w:val="0"/>
        <w:bidi w:val="0"/>
        <w:adjustRightInd/>
        <w:snapToGrid/>
        <w:spacing w:line="600" w:lineRule="exact"/>
        <w:ind w:firstLine="640" w:firstLineChars="200"/>
        <w:jc w:val="left"/>
        <w:rPr>
          <w:rFonts w:hint="default" w:ascii="Times New Roman" w:hAnsi="Times New Roman" w:eastAsia="仿宋_GB2312" w:cs="仿宋_GB2312"/>
          <w:b w:val="0"/>
          <w:bCs w:val="0"/>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b w:val="0"/>
          <w:bCs w:val="0"/>
          <w:color w:val="000000" w:themeColor="text1"/>
          <w:sz w:val="32"/>
          <w:szCs w:val="32"/>
          <w:lang w:val="en-US" w:eastAsia="zh-CN"/>
          <w14:textFill>
            <w14:solidFill>
              <w14:schemeClr w14:val="tx1"/>
            </w14:solidFill>
          </w14:textFill>
        </w:rPr>
        <w:t>本标准可在大米生产企业中应用，推动企业自身加强对产品的品控，提升大米品质；可在市场监督管理中应用，提高第三方检测机构等对市场产品品质快速初筛的能力，进一步规范大米市场。建议及时开展标准宣贯工作，以期充分发挥本标准的作用。同时，在应用中，及时发现和收集标准执行中的问题，不断提升本标准的技术水平。</w:t>
      </w:r>
    </w:p>
    <w:p w14:paraId="264435A5">
      <w:pPr>
        <w:keepNext w:val="0"/>
        <w:keepLines w:val="0"/>
        <w:pageBreakBefore w:val="0"/>
        <w:widowControl w:val="0"/>
        <w:kinsoku/>
        <w:wordWrap/>
        <w:overflowPunct/>
        <w:topLinePunct w:val="0"/>
        <w:bidi w:val="0"/>
        <w:adjustRightInd/>
        <w:snapToGrid/>
        <w:spacing w:line="600" w:lineRule="exact"/>
        <w:ind w:firstLine="640" w:firstLineChars="200"/>
        <w:jc w:val="left"/>
        <w:rPr>
          <w:rFonts w:ascii="Times New Roman" w:hAnsi="Times New Roman" w:eastAsia="仿宋_GB2312" w:cs="仿宋_GB2312"/>
          <w:b/>
          <w:bCs/>
          <w:color w:val="000000" w:themeColor="text1"/>
          <w:sz w:val="32"/>
          <w:szCs w:val="32"/>
          <w14:textFill>
            <w14:solidFill>
              <w14:schemeClr w14:val="tx1"/>
            </w14:solidFill>
          </w14:textFill>
        </w:rPr>
      </w:pPr>
      <w:r>
        <w:rPr>
          <w:rFonts w:hint="eastAsia" w:ascii="Times New Roman" w:hAnsi="Times New Roman" w:eastAsia="仿宋_GB2312" w:cs="仿宋_GB2312"/>
          <w:b w:val="0"/>
          <w:bCs w:val="0"/>
          <w:color w:val="000000" w:themeColor="text1"/>
          <w:sz w:val="32"/>
          <w:szCs w:val="32"/>
          <w:lang w:val="en-US" w:eastAsia="zh-CN"/>
          <w14:textFill>
            <w14:solidFill>
              <w14:schemeClr w14:val="tx1"/>
            </w14:solidFill>
          </w14:textFill>
        </w:rPr>
        <w:t>建议本标准自发布之日起3个月内开始实施。</w:t>
      </w:r>
    </w:p>
    <w:p w14:paraId="46EBAB65">
      <w:pPr>
        <w:keepNext w:val="0"/>
        <w:keepLines w:val="0"/>
        <w:pageBreakBefore w:val="0"/>
        <w:widowControl w:val="0"/>
        <w:kinsoku/>
        <w:wordWrap/>
        <w:overflowPunct/>
        <w:topLinePunct w:val="0"/>
        <w:bidi w:val="0"/>
        <w:adjustRightInd/>
        <w:snapToGrid/>
        <w:spacing w:line="600" w:lineRule="exact"/>
        <w:ind w:firstLine="643" w:firstLineChars="200"/>
        <w:jc w:val="left"/>
        <w:rPr>
          <w:rFonts w:ascii="Times New Roman" w:hAnsi="Times New Roman" w:eastAsia="黑体" w:cs="黑体"/>
          <w:b/>
          <w:bCs/>
          <w:color w:val="000000" w:themeColor="text1"/>
          <w:sz w:val="32"/>
          <w:szCs w:val="32"/>
          <w14:textFill>
            <w14:solidFill>
              <w14:schemeClr w14:val="tx1"/>
            </w14:solidFill>
          </w14:textFill>
        </w:rPr>
      </w:pPr>
      <w:r>
        <w:rPr>
          <w:rFonts w:hint="eastAsia" w:ascii="Times New Roman" w:hAnsi="Times New Roman" w:eastAsia="黑体" w:cs="黑体"/>
          <w:b/>
          <w:bCs/>
          <w:color w:val="000000" w:themeColor="text1"/>
          <w:sz w:val="32"/>
          <w:szCs w:val="32"/>
          <w14:textFill>
            <w14:solidFill>
              <w14:schemeClr w14:val="tx1"/>
            </w14:solidFill>
          </w14:textFill>
        </w:rPr>
        <w:t>九、其他需要说明的问题</w:t>
      </w:r>
    </w:p>
    <w:p w14:paraId="617C28D4">
      <w:pPr>
        <w:keepNext w:val="0"/>
        <w:keepLines w:val="0"/>
        <w:pageBreakBefore w:val="0"/>
        <w:widowControl w:val="0"/>
        <w:kinsoku/>
        <w:wordWrap/>
        <w:overflowPunct/>
        <w:topLinePunct w:val="0"/>
        <w:bidi w:val="0"/>
        <w:adjustRightInd/>
        <w:snapToGrid/>
        <w:spacing w:line="600" w:lineRule="exact"/>
        <w:ind w:firstLine="640" w:firstLineChars="200"/>
        <w:rPr>
          <w:rFonts w:hint="eastAsia" w:ascii="Times New Roman" w:hAnsi="Times New Roman" w:eastAsia="仿宋_GB2312" w:cs="仿宋_GB2312"/>
          <w:color w:val="000000" w:themeColor="text1"/>
          <w:sz w:val="32"/>
          <w:szCs w:val="32"/>
          <w:lang w:bidi="ar"/>
          <w14:textFill>
            <w14:solidFill>
              <w14:schemeClr w14:val="tx1"/>
            </w14:solidFill>
          </w14:textFill>
        </w:rPr>
      </w:pPr>
      <w:r>
        <w:rPr>
          <w:rFonts w:hint="eastAsia" w:ascii="Times New Roman" w:hAnsi="Times New Roman" w:eastAsia="仿宋_GB2312" w:cs="仿宋_GB2312"/>
          <w:color w:val="000000" w:themeColor="text1"/>
          <w:sz w:val="32"/>
          <w:szCs w:val="32"/>
          <w:lang w:bidi="ar"/>
          <w14:textFill>
            <w14:solidFill>
              <w14:schemeClr w14:val="tx1"/>
            </w14:solidFill>
          </w14:textFill>
        </w:rPr>
        <w:t>无。</w:t>
      </w:r>
    </w:p>
    <w:p w14:paraId="2CD03CDB">
      <w:pPr>
        <w:pStyle w:val="2"/>
        <w:keepNext w:val="0"/>
        <w:keepLines w:val="0"/>
        <w:pageBreakBefore w:val="0"/>
        <w:widowControl w:val="0"/>
        <w:kinsoku/>
        <w:wordWrap/>
        <w:overflowPunct/>
        <w:topLinePunct w:val="0"/>
        <w:bidi w:val="0"/>
        <w:adjustRightInd/>
        <w:snapToGrid/>
        <w:spacing w:line="600" w:lineRule="exact"/>
        <w:ind w:firstLine="0" w:firstLineChars="0"/>
        <w:rPr>
          <w:rFonts w:ascii="Times New Roman" w:hAnsi="Times New Roman"/>
          <w:color w:val="000000" w:themeColor="text1"/>
          <w14:textFill>
            <w14:solidFill>
              <w14:schemeClr w14:val="tx1"/>
            </w14:solidFill>
          </w14:textFill>
        </w:rPr>
      </w:pPr>
    </w:p>
    <w:sectPr>
      <w:pgSz w:w="11906" w:h="16838"/>
      <w:pgMar w:top="2098" w:right="1474" w:bottom="1984" w:left="1587" w:header="851" w:footer="992" w:gutter="0"/>
      <w:pgBorders>
        <w:top w:val="none" w:sz="0" w:space="0"/>
        <w:left w:val="none" w:sz="0" w:space="0"/>
        <w:bottom w:val="none" w:sz="0" w:space="0"/>
        <w:right w:val="none" w:sz="0" w:space="0"/>
      </w:pgBorders>
      <w:cols w:space="0" w:num="1"/>
      <w:rtlGutter w:val="0"/>
      <w:docGrid w:type="lines" w:linePitch="31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Segoe UI">
    <w:panose1 w:val="020B0502040204020203"/>
    <w:charset w:val="00"/>
    <w:family w:val="swiss"/>
    <w:pitch w:val="default"/>
    <w:sig w:usb0="E4002EFF" w:usb1="C000E47F"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FE409">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850CDA">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4850CDA">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18"/>
      <w:suff w:val="nothing"/>
      <w:lvlText w:val="%1.%2　"/>
      <w:lvlJc w:val="left"/>
      <w:pPr>
        <w:ind w:left="992"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pPr>
        <w:ind w:left="1559" w:firstLine="0"/>
      </w:pPr>
      <w:rPr>
        <w:rFonts w:hint="eastAsia" w:ascii="黑体" w:hAnsi="Times New Roman" w:eastAsia="黑体"/>
        <w:b w:val="0"/>
        <w:i w:val="0"/>
        <w:sz w:val="21"/>
      </w:rPr>
    </w:lvl>
    <w:lvl w:ilvl="3" w:tentative="0">
      <w:start w:val="1"/>
      <w:numFmt w:val="decimal"/>
      <w:suff w:val="nothing"/>
      <w:lvlText w:val="%1.%2.%3.%4　"/>
      <w:lvlJc w:val="left"/>
      <w:pPr>
        <w:ind w:left="1559"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8"/>
  <w:embedSystem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A3ZTkzY2M2MTA5NTMwZDA0MmIyMTIzMGIzNWI3NmUifQ=="/>
  </w:docVars>
  <w:rsids>
    <w:rsidRoot w:val="006302A2"/>
    <w:rsid w:val="00437EDE"/>
    <w:rsid w:val="006302A2"/>
    <w:rsid w:val="00807097"/>
    <w:rsid w:val="00C55753"/>
    <w:rsid w:val="00E73F56"/>
    <w:rsid w:val="039F5F3E"/>
    <w:rsid w:val="03E308DB"/>
    <w:rsid w:val="04067A04"/>
    <w:rsid w:val="04732A89"/>
    <w:rsid w:val="056D52E8"/>
    <w:rsid w:val="063A2B60"/>
    <w:rsid w:val="06B45C27"/>
    <w:rsid w:val="070272B0"/>
    <w:rsid w:val="084D3C61"/>
    <w:rsid w:val="095B1C05"/>
    <w:rsid w:val="0A4902DE"/>
    <w:rsid w:val="0ACB74F7"/>
    <w:rsid w:val="0B390BE9"/>
    <w:rsid w:val="0B3B33FC"/>
    <w:rsid w:val="0B733EFD"/>
    <w:rsid w:val="0BC54EC7"/>
    <w:rsid w:val="0CAE39DF"/>
    <w:rsid w:val="0CC767B4"/>
    <w:rsid w:val="0CF7F47D"/>
    <w:rsid w:val="0DB56CD9"/>
    <w:rsid w:val="0F655348"/>
    <w:rsid w:val="118317D4"/>
    <w:rsid w:val="11D0732A"/>
    <w:rsid w:val="11E114D8"/>
    <w:rsid w:val="12773B93"/>
    <w:rsid w:val="12C12B2D"/>
    <w:rsid w:val="14264754"/>
    <w:rsid w:val="144D6A10"/>
    <w:rsid w:val="14ED709A"/>
    <w:rsid w:val="163B50EA"/>
    <w:rsid w:val="16455324"/>
    <w:rsid w:val="1893442D"/>
    <w:rsid w:val="18F03E0E"/>
    <w:rsid w:val="18F06576"/>
    <w:rsid w:val="19216B74"/>
    <w:rsid w:val="1BCF3941"/>
    <w:rsid w:val="1BED5A62"/>
    <w:rsid w:val="1CEA4A8B"/>
    <w:rsid w:val="1DA73546"/>
    <w:rsid w:val="1EA74225"/>
    <w:rsid w:val="1EB16A5E"/>
    <w:rsid w:val="1F1D8E46"/>
    <w:rsid w:val="1F383EC4"/>
    <w:rsid w:val="1F9A5520"/>
    <w:rsid w:val="1FC0650B"/>
    <w:rsid w:val="1FF7B7E3"/>
    <w:rsid w:val="20546C55"/>
    <w:rsid w:val="217B2100"/>
    <w:rsid w:val="221970A4"/>
    <w:rsid w:val="2250394F"/>
    <w:rsid w:val="22BC6C25"/>
    <w:rsid w:val="22F178E9"/>
    <w:rsid w:val="23851690"/>
    <w:rsid w:val="25A24885"/>
    <w:rsid w:val="261159D2"/>
    <w:rsid w:val="27263ABF"/>
    <w:rsid w:val="2790366A"/>
    <w:rsid w:val="27CF3546"/>
    <w:rsid w:val="283B4FCD"/>
    <w:rsid w:val="28DC7D15"/>
    <w:rsid w:val="2A640A02"/>
    <w:rsid w:val="2AA93657"/>
    <w:rsid w:val="2B911729"/>
    <w:rsid w:val="2BA2543C"/>
    <w:rsid w:val="2BA73C21"/>
    <w:rsid w:val="2CFB070D"/>
    <w:rsid w:val="2D281480"/>
    <w:rsid w:val="2D7F0F6B"/>
    <w:rsid w:val="2DE9241D"/>
    <w:rsid w:val="2DF97E7A"/>
    <w:rsid w:val="2EBA6F40"/>
    <w:rsid w:val="2FF10050"/>
    <w:rsid w:val="30732C5A"/>
    <w:rsid w:val="30C36CF3"/>
    <w:rsid w:val="31866622"/>
    <w:rsid w:val="326A6587"/>
    <w:rsid w:val="327F2071"/>
    <w:rsid w:val="33255402"/>
    <w:rsid w:val="339E40FC"/>
    <w:rsid w:val="345B32F6"/>
    <w:rsid w:val="347714ED"/>
    <w:rsid w:val="34B631B1"/>
    <w:rsid w:val="35B77BB1"/>
    <w:rsid w:val="36156ACF"/>
    <w:rsid w:val="36381B14"/>
    <w:rsid w:val="365A23C0"/>
    <w:rsid w:val="365B66C8"/>
    <w:rsid w:val="36F03849"/>
    <w:rsid w:val="36FF6008"/>
    <w:rsid w:val="3732784F"/>
    <w:rsid w:val="38835CC1"/>
    <w:rsid w:val="38A63C99"/>
    <w:rsid w:val="38CB1A65"/>
    <w:rsid w:val="39F549F8"/>
    <w:rsid w:val="39FB123E"/>
    <w:rsid w:val="3A33061D"/>
    <w:rsid w:val="3AFC1A03"/>
    <w:rsid w:val="3B5F3EB3"/>
    <w:rsid w:val="3B7A35DA"/>
    <w:rsid w:val="3E912C6F"/>
    <w:rsid w:val="3EA80099"/>
    <w:rsid w:val="3F73541C"/>
    <w:rsid w:val="404516D0"/>
    <w:rsid w:val="414C74A3"/>
    <w:rsid w:val="42451539"/>
    <w:rsid w:val="42C229D1"/>
    <w:rsid w:val="42EA7FB4"/>
    <w:rsid w:val="439E29C5"/>
    <w:rsid w:val="44065A24"/>
    <w:rsid w:val="449900F4"/>
    <w:rsid w:val="449D0199"/>
    <w:rsid w:val="456B51E8"/>
    <w:rsid w:val="467473D0"/>
    <w:rsid w:val="467B4DC0"/>
    <w:rsid w:val="46BB2AB9"/>
    <w:rsid w:val="46CD61FE"/>
    <w:rsid w:val="471B6AC4"/>
    <w:rsid w:val="47887871"/>
    <w:rsid w:val="47EF25B5"/>
    <w:rsid w:val="4824510C"/>
    <w:rsid w:val="48581477"/>
    <w:rsid w:val="48AE7621"/>
    <w:rsid w:val="4A152D49"/>
    <w:rsid w:val="4AE3697D"/>
    <w:rsid w:val="4B3F4BB1"/>
    <w:rsid w:val="4B49116C"/>
    <w:rsid w:val="4B9F4D3F"/>
    <w:rsid w:val="4BF809D2"/>
    <w:rsid w:val="4CF80F08"/>
    <w:rsid w:val="4EDBE9F8"/>
    <w:rsid w:val="50A672C6"/>
    <w:rsid w:val="529576FF"/>
    <w:rsid w:val="53435DE0"/>
    <w:rsid w:val="53D347FF"/>
    <w:rsid w:val="541B545B"/>
    <w:rsid w:val="54CE171B"/>
    <w:rsid w:val="55BE227A"/>
    <w:rsid w:val="560E4266"/>
    <w:rsid w:val="56B40C78"/>
    <w:rsid w:val="56EFEC31"/>
    <w:rsid w:val="56FD1266"/>
    <w:rsid w:val="592F3824"/>
    <w:rsid w:val="59314126"/>
    <w:rsid w:val="5A5903BD"/>
    <w:rsid w:val="5AF97F5D"/>
    <w:rsid w:val="5B3F30C8"/>
    <w:rsid w:val="5C025E5A"/>
    <w:rsid w:val="5C854C48"/>
    <w:rsid w:val="5CB539C5"/>
    <w:rsid w:val="5CBD1826"/>
    <w:rsid w:val="5D5B7658"/>
    <w:rsid w:val="5DAF0675"/>
    <w:rsid w:val="5DFBAA20"/>
    <w:rsid w:val="5EE9906F"/>
    <w:rsid w:val="5F5C6C8E"/>
    <w:rsid w:val="5F7100C5"/>
    <w:rsid w:val="60E750C3"/>
    <w:rsid w:val="60FF2D6B"/>
    <w:rsid w:val="61265DD7"/>
    <w:rsid w:val="61686204"/>
    <w:rsid w:val="617A3322"/>
    <w:rsid w:val="61C20628"/>
    <w:rsid w:val="61C52DED"/>
    <w:rsid w:val="64E52160"/>
    <w:rsid w:val="67A526ED"/>
    <w:rsid w:val="67AE6957"/>
    <w:rsid w:val="67EF1209"/>
    <w:rsid w:val="67F993B3"/>
    <w:rsid w:val="683C3181"/>
    <w:rsid w:val="68CB61E5"/>
    <w:rsid w:val="693A01C6"/>
    <w:rsid w:val="697FDDF9"/>
    <w:rsid w:val="69A04A6E"/>
    <w:rsid w:val="69B8482E"/>
    <w:rsid w:val="69BC3718"/>
    <w:rsid w:val="6C127137"/>
    <w:rsid w:val="6CF537C9"/>
    <w:rsid w:val="6D36486B"/>
    <w:rsid w:val="6D885FE3"/>
    <w:rsid w:val="6DCC7091"/>
    <w:rsid w:val="6DEF0EAA"/>
    <w:rsid w:val="6E276AFF"/>
    <w:rsid w:val="6E312E3A"/>
    <w:rsid w:val="6E6F44A0"/>
    <w:rsid w:val="6EBE76C4"/>
    <w:rsid w:val="6EE84AF8"/>
    <w:rsid w:val="6F616AE4"/>
    <w:rsid w:val="6F733EB5"/>
    <w:rsid w:val="6FA51417"/>
    <w:rsid w:val="6FFF83F8"/>
    <w:rsid w:val="70310F8A"/>
    <w:rsid w:val="706F9940"/>
    <w:rsid w:val="708F58A3"/>
    <w:rsid w:val="7132353B"/>
    <w:rsid w:val="71EC609E"/>
    <w:rsid w:val="7226476B"/>
    <w:rsid w:val="72FCAB10"/>
    <w:rsid w:val="73CC0A17"/>
    <w:rsid w:val="74892579"/>
    <w:rsid w:val="74D15503"/>
    <w:rsid w:val="76456EC5"/>
    <w:rsid w:val="77FA8B3A"/>
    <w:rsid w:val="78777D39"/>
    <w:rsid w:val="79523E83"/>
    <w:rsid w:val="7A674A59"/>
    <w:rsid w:val="7A7710FA"/>
    <w:rsid w:val="7A7A43C4"/>
    <w:rsid w:val="7ABB6143"/>
    <w:rsid w:val="7ADD1A44"/>
    <w:rsid w:val="7B6830FB"/>
    <w:rsid w:val="7B7D4521"/>
    <w:rsid w:val="7BDD3AFB"/>
    <w:rsid w:val="7BE73F95"/>
    <w:rsid w:val="7BEB3734"/>
    <w:rsid w:val="7C5FEA1E"/>
    <w:rsid w:val="7D9F6215"/>
    <w:rsid w:val="7DBB15C0"/>
    <w:rsid w:val="7E3DA202"/>
    <w:rsid w:val="7E616061"/>
    <w:rsid w:val="7E6B31A5"/>
    <w:rsid w:val="7E77275E"/>
    <w:rsid w:val="7E9F084D"/>
    <w:rsid w:val="7F9A03A9"/>
    <w:rsid w:val="7FBB4D1E"/>
    <w:rsid w:val="7FDF5C11"/>
    <w:rsid w:val="7FDFD448"/>
    <w:rsid w:val="7FE45C42"/>
    <w:rsid w:val="7FEFEE08"/>
    <w:rsid w:val="7FF12A6C"/>
    <w:rsid w:val="7FF71601"/>
    <w:rsid w:val="963BAB14"/>
    <w:rsid w:val="9F452FC0"/>
    <w:rsid w:val="9F9B8BD2"/>
    <w:rsid w:val="9FBD8C67"/>
    <w:rsid w:val="A1F94B81"/>
    <w:rsid w:val="AFFE44E3"/>
    <w:rsid w:val="B56D11E7"/>
    <w:rsid w:val="B5FF350F"/>
    <w:rsid w:val="B77D4300"/>
    <w:rsid w:val="BEBF2998"/>
    <w:rsid w:val="BF525807"/>
    <w:rsid w:val="BF7DB955"/>
    <w:rsid w:val="BFDF4AB0"/>
    <w:rsid w:val="CB5DD359"/>
    <w:rsid w:val="CBF574C3"/>
    <w:rsid w:val="CE3F7323"/>
    <w:rsid w:val="CFFD8CC3"/>
    <w:rsid w:val="D6EAA72A"/>
    <w:rsid w:val="DBFE6D80"/>
    <w:rsid w:val="DFBF40B0"/>
    <w:rsid w:val="E2AFA92B"/>
    <w:rsid w:val="E3EFE0F4"/>
    <w:rsid w:val="E91338A3"/>
    <w:rsid w:val="EBAFB464"/>
    <w:rsid w:val="ED3FD84F"/>
    <w:rsid w:val="EECFC1AA"/>
    <w:rsid w:val="EEFF246B"/>
    <w:rsid w:val="EF57B557"/>
    <w:rsid w:val="EFBC8D64"/>
    <w:rsid w:val="EFFDD7B4"/>
    <w:rsid w:val="F22FF690"/>
    <w:rsid w:val="F2BE18E5"/>
    <w:rsid w:val="F2CBB79C"/>
    <w:rsid w:val="F4F586CE"/>
    <w:rsid w:val="F75D1C35"/>
    <w:rsid w:val="F7B9F935"/>
    <w:rsid w:val="F7EEAA1B"/>
    <w:rsid w:val="F7F79585"/>
    <w:rsid w:val="F9B7CDE8"/>
    <w:rsid w:val="FB5FBEE6"/>
    <w:rsid w:val="FBBA03BA"/>
    <w:rsid w:val="FBDF3474"/>
    <w:rsid w:val="FBF3CC3D"/>
    <w:rsid w:val="FBFF25E2"/>
    <w:rsid w:val="FBFF7426"/>
    <w:rsid w:val="FC9FCAA4"/>
    <w:rsid w:val="FDBF0CA5"/>
    <w:rsid w:val="FDDF7B21"/>
    <w:rsid w:val="FDFD7479"/>
    <w:rsid w:val="FEBDA4AA"/>
    <w:rsid w:val="FF28FEC7"/>
    <w:rsid w:val="FF4D4A04"/>
    <w:rsid w:val="FF7F1D91"/>
    <w:rsid w:val="FF7FDF5E"/>
    <w:rsid w:val="FFB73E26"/>
    <w:rsid w:val="FFBB6029"/>
    <w:rsid w:val="FFE5798B"/>
    <w:rsid w:val="FFEF3F49"/>
    <w:rsid w:val="FFFB1B77"/>
    <w:rsid w:val="FFFD500F"/>
    <w:rsid w:val="FFFE9B8A"/>
    <w:rsid w:val="FFFFB2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78" w:lineRule="auto"/>
      <w:jc w:val="both"/>
    </w:pPr>
    <w:rPr>
      <w:rFonts w:ascii="Calibri" w:hAnsi="Calibri" w:eastAsia="宋体" w:cs="Times New Roman"/>
      <w:kern w:val="2"/>
      <w:sz w:val="21"/>
      <w:szCs w:val="22"/>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qFormat/>
    <w:uiPriority w:val="1"/>
    <w:rPr>
      <w:rFonts w:ascii="黑体" w:hAnsi="黑体" w:eastAsia="黑体" w:cs="黑体"/>
      <w:sz w:val="28"/>
      <w:szCs w:val="28"/>
      <w:lang w:val="ca-ES" w:eastAsia="en-US"/>
    </w:rPr>
  </w:style>
  <w:style w:type="paragraph" w:styleId="4">
    <w:name w:val="annotation text"/>
    <w:basedOn w:val="1"/>
    <w:link w:val="25"/>
    <w:qFormat/>
    <w:uiPriority w:val="0"/>
    <w:pPr>
      <w:jc w:val="left"/>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paragraph" w:styleId="8">
    <w:name w:val="annotation subject"/>
    <w:basedOn w:val="4"/>
    <w:next w:val="4"/>
    <w:link w:val="26"/>
    <w:qFormat/>
    <w:uiPriority w:val="0"/>
    <w:rPr>
      <w:b/>
      <w:bCs/>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annotation reference"/>
    <w:basedOn w:val="11"/>
    <w:qFormat/>
    <w:uiPriority w:val="0"/>
    <w:rPr>
      <w:sz w:val="21"/>
      <w:szCs w:val="21"/>
    </w:rPr>
  </w:style>
  <w:style w:type="paragraph" w:customStyle="1" w:styleId="13">
    <w:name w:val="段"/>
    <w:qFormat/>
    <w:uiPriority w:val="0"/>
    <w:pPr>
      <w:autoSpaceDE w:val="0"/>
      <w:autoSpaceDN w:val="0"/>
      <w:spacing w:after="160" w:line="278" w:lineRule="auto"/>
      <w:ind w:firstLine="420" w:firstLineChars="200"/>
      <w:jc w:val="both"/>
    </w:pPr>
    <w:rPr>
      <w:rFonts w:ascii="宋体" w:hAnsi="Times New Roman" w:eastAsia="宋体" w:cs="Times New Roman"/>
      <w:kern w:val="2"/>
      <w:sz w:val="21"/>
      <w:szCs w:val="22"/>
      <w:lang w:val="en-US" w:eastAsia="zh-CN" w:bidi="ar-SA"/>
    </w:rPr>
  </w:style>
  <w:style w:type="paragraph" w:customStyle="1" w:styleId="14">
    <w:name w:val="标准书眉_奇数页"/>
    <w:next w:val="1"/>
    <w:qFormat/>
    <w:uiPriority w:val="0"/>
    <w:pPr>
      <w:tabs>
        <w:tab w:val="center" w:pos="4154"/>
        <w:tab w:val="right" w:pos="8306"/>
      </w:tabs>
      <w:spacing w:after="120" w:line="278" w:lineRule="auto"/>
      <w:jc w:val="right"/>
    </w:pPr>
    <w:rPr>
      <w:rFonts w:ascii="Times New Roman" w:hAnsi="Times New Roman" w:eastAsia="宋体" w:cs="Times New Roman"/>
      <w:sz w:val="21"/>
      <w:lang w:val="en-US" w:eastAsia="zh-CN" w:bidi="ar-SA"/>
    </w:rPr>
  </w:style>
  <w:style w:type="character" w:customStyle="1" w:styleId="15">
    <w:name w:val="font21"/>
    <w:basedOn w:val="11"/>
    <w:qFormat/>
    <w:uiPriority w:val="0"/>
    <w:rPr>
      <w:rFonts w:ascii="等线" w:hAnsi="等线" w:eastAsia="等线" w:cs="等线"/>
      <w:color w:val="000000"/>
      <w:sz w:val="22"/>
      <w:szCs w:val="22"/>
      <w:u w:val="none"/>
    </w:rPr>
  </w:style>
  <w:style w:type="character" w:customStyle="1" w:styleId="16">
    <w:name w:val="font11"/>
    <w:basedOn w:val="11"/>
    <w:qFormat/>
    <w:uiPriority w:val="0"/>
    <w:rPr>
      <w:rFonts w:hint="default" w:ascii="Times New Roman" w:hAnsi="Times New Roman" w:cs="Times New Roman"/>
      <w:color w:val="000000"/>
      <w:sz w:val="22"/>
      <w:szCs w:val="22"/>
      <w:u w:val="none"/>
    </w:rPr>
  </w:style>
  <w:style w:type="character" w:customStyle="1" w:styleId="17">
    <w:name w:val="font31"/>
    <w:basedOn w:val="11"/>
    <w:qFormat/>
    <w:uiPriority w:val="0"/>
    <w:rPr>
      <w:rFonts w:ascii="等线" w:hAnsi="等线" w:eastAsia="等线" w:cs="等线"/>
      <w:color w:val="000000"/>
      <w:sz w:val="22"/>
      <w:szCs w:val="22"/>
      <w:u w:val="none"/>
    </w:rPr>
  </w:style>
  <w:style w:type="paragraph" w:customStyle="1" w:styleId="18">
    <w:name w:val="一级条标题"/>
    <w:next w:val="13"/>
    <w:qFormat/>
    <w:uiPriority w:val="0"/>
    <w:pPr>
      <w:numPr>
        <w:ilvl w:val="1"/>
        <w:numId w:val="1"/>
      </w:numPr>
      <w:spacing w:before="156" w:beforeLines="50" w:after="156" w:afterLines="50" w:line="278" w:lineRule="auto"/>
      <w:outlineLvl w:val="2"/>
    </w:pPr>
    <w:rPr>
      <w:rFonts w:ascii="黑体" w:hAnsi="Times New Roman" w:eastAsia="黑体" w:cs="Times New Roman"/>
      <w:sz w:val="21"/>
      <w:szCs w:val="21"/>
      <w:lang w:val="en-US" w:eastAsia="zh-CN" w:bidi="ar-SA"/>
    </w:rPr>
  </w:style>
  <w:style w:type="paragraph" w:customStyle="1" w:styleId="19">
    <w:name w:val="标准书脚_奇数页"/>
    <w:qFormat/>
    <w:uiPriority w:val="0"/>
    <w:pPr>
      <w:spacing w:before="120" w:after="160" w:line="278" w:lineRule="auto"/>
      <w:ind w:right="198"/>
      <w:jc w:val="right"/>
    </w:pPr>
    <w:rPr>
      <w:rFonts w:ascii="宋体" w:hAnsi="Times New Roman" w:eastAsia="宋体" w:cs="Times New Roman"/>
      <w:sz w:val="18"/>
      <w:szCs w:val="18"/>
      <w:lang w:val="en-US" w:eastAsia="zh-CN" w:bidi="ar-SA"/>
    </w:rPr>
  </w:style>
  <w:style w:type="character" w:customStyle="1" w:styleId="20">
    <w:name w:val="font01"/>
    <w:basedOn w:val="11"/>
    <w:qFormat/>
    <w:uiPriority w:val="0"/>
    <w:rPr>
      <w:rFonts w:hint="default" w:ascii="Times New Roman" w:hAnsi="Times New Roman" w:cs="Times New Roman"/>
      <w:color w:val="000000"/>
      <w:sz w:val="22"/>
      <w:szCs w:val="22"/>
      <w:u w:val="none"/>
    </w:rPr>
  </w:style>
  <w:style w:type="character" w:customStyle="1" w:styleId="21">
    <w:name w:val="font41"/>
    <w:basedOn w:val="11"/>
    <w:qFormat/>
    <w:uiPriority w:val="0"/>
    <w:rPr>
      <w:rFonts w:hint="eastAsia" w:ascii="黑体" w:hAnsi="宋体" w:eastAsia="黑体" w:cs="黑体"/>
      <w:color w:val="000000"/>
      <w:sz w:val="24"/>
      <w:szCs w:val="24"/>
      <w:u w:val="none"/>
    </w:rPr>
  </w:style>
  <w:style w:type="character" w:customStyle="1" w:styleId="22">
    <w:name w:val="font71"/>
    <w:basedOn w:val="11"/>
    <w:qFormat/>
    <w:uiPriority w:val="0"/>
    <w:rPr>
      <w:rFonts w:hint="eastAsia" w:ascii="黑体" w:hAnsi="宋体" w:eastAsia="黑体" w:cs="黑体"/>
      <w:i/>
      <w:color w:val="000000"/>
      <w:sz w:val="24"/>
      <w:szCs w:val="24"/>
      <w:u w:val="none"/>
      <w:vertAlign w:val="subscript"/>
    </w:rPr>
  </w:style>
  <w:style w:type="character" w:customStyle="1" w:styleId="23">
    <w:name w:val="font61"/>
    <w:basedOn w:val="11"/>
    <w:qFormat/>
    <w:uiPriority w:val="0"/>
    <w:rPr>
      <w:rFonts w:hint="eastAsia" w:ascii="黑体" w:hAnsi="宋体" w:eastAsia="黑体" w:cs="黑体"/>
      <w:color w:val="000000"/>
      <w:sz w:val="24"/>
      <w:szCs w:val="24"/>
      <w:u w:val="none"/>
    </w:rPr>
  </w:style>
  <w:style w:type="paragraph" w:customStyle="1" w:styleId="24">
    <w:name w:val="Revision"/>
    <w:hidden/>
    <w:unhideWhenUsed/>
    <w:qFormat/>
    <w:uiPriority w:val="99"/>
    <w:pPr>
      <w:spacing w:after="0" w:line="240" w:lineRule="auto"/>
    </w:pPr>
    <w:rPr>
      <w:rFonts w:ascii="Calibri" w:hAnsi="Calibri" w:eastAsia="宋体" w:cs="Times New Roman"/>
      <w:kern w:val="2"/>
      <w:sz w:val="21"/>
      <w:szCs w:val="22"/>
      <w:lang w:val="en-US" w:eastAsia="zh-CN" w:bidi="ar-SA"/>
    </w:rPr>
  </w:style>
  <w:style w:type="character" w:customStyle="1" w:styleId="25">
    <w:name w:val="批注文字 字符"/>
    <w:basedOn w:val="11"/>
    <w:link w:val="4"/>
    <w:qFormat/>
    <w:uiPriority w:val="0"/>
    <w:rPr>
      <w:rFonts w:ascii="Calibri" w:hAnsi="Calibri"/>
      <w:kern w:val="2"/>
      <w:sz w:val="21"/>
      <w:szCs w:val="22"/>
    </w:rPr>
  </w:style>
  <w:style w:type="character" w:customStyle="1" w:styleId="26">
    <w:name w:val="批注主题 字符"/>
    <w:basedOn w:val="25"/>
    <w:link w:val="8"/>
    <w:qFormat/>
    <w:uiPriority w:val="0"/>
    <w:rPr>
      <w:rFonts w:ascii="Calibri" w:hAnsi="Calibri"/>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chart" Target="charts/chart5.xml"/><Relationship Id="rId3" Type="http://schemas.openxmlformats.org/officeDocument/2006/relationships/footnotes" Target="footnotes.xml"/><Relationship Id="rId29" Type="http://schemas.openxmlformats.org/officeDocument/2006/relationships/chart" Target="charts/chart4.xml"/><Relationship Id="rId28" Type="http://schemas.openxmlformats.org/officeDocument/2006/relationships/chart" Target="charts/chart3.xml"/><Relationship Id="rId27" Type="http://schemas.openxmlformats.org/officeDocument/2006/relationships/chart" Target="charts/chart2.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chart" Target="charts/chart1.xml"/><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home/huawei/Documents/xwechat_files/wxid_vybax9j9rcwl12_284a/msg/file/2025-09/&#22823;&#31859;&#30452;&#38142;&#28096;&#31881;&#26041;&#27861;&#25968;&#25454;(3).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home/huawei/Desktop/&#22823;&#31859;&#30452;&#38142;&#28096;&#31881;&#26041;&#27861;&#25968;&#25454;(3).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home/huawei/Desktop/&#22823;&#31859;&#30452;&#38142;&#28096;&#31881;&#26041;&#27861;&#25968;&#25454;(3).xls"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home/huawei/Desktop/&#22823;&#31859;&#30452;&#38142;&#28096;&#31881;&#26041;&#27861;&#25968;&#25454;(3).xls"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ome/huawei/Desktop/&#22823;&#31859;&#30452;&#38142;&#28096;&#31881;&#26041;&#27861;&#25968;&#25454;(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'[大米直链淀粉方法数据(3).xls]样品集划分'!$I$10</c:f>
              <c:strCache>
                <c:ptCount val="1"/>
                <c:pt idx="0">
                  <c:v>校正集样品（个）</c:v>
                </c:pt>
              </c:strCache>
            </c:strRef>
          </c:tx>
          <c:spPr>
            <a:solidFill>
              <a:schemeClr val="accent1"/>
            </a:solidFill>
            <a:ln>
              <a:noFill/>
            </a:ln>
            <a:effectLst/>
          </c:spPr>
          <c:invertIfNegative val="0"/>
          <c:dLbls>
            <c:delete val="1"/>
          </c:dLbls>
          <c:cat>
            <c:strRef>
              <c:f>'[大米直链淀粉方法数据(3).xls]样品集划分'!$H$11:$H$13</c:f>
              <c:strCache>
                <c:ptCount val="3"/>
                <c:pt idx="0">
                  <c:v>2.0~3.5</c:v>
                </c:pt>
                <c:pt idx="1">
                  <c:v>15.0~19.9</c:v>
                </c:pt>
                <c:pt idx="2">
                  <c:v>20.0~30.0</c:v>
                </c:pt>
              </c:strCache>
            </c:strRef>
          </c:cat>
          <c:val>
            <c:numRef>
              <c:f>'[大米直链淀粉方法数据(3).xls]样品集划分'!$I$11:$I$13</c:f>
              <c:numCache>
                <c:formatCode>General</c:formatCode>
                <c:ptCount val="3"/>
                <c:pt idx="0">
                  <c:v>18</c:v>
                </c:pt>
                <c:pt idx="1">
                  <c:v>99</c:v>
                </c:pt>
                <c:pt idx="2">
                  <c:v>33</c:v>
                </c:pt>
              </c:numCache>
            </c:numRef>
          </c:val>
        </c:ser>
        <c:ser>
          <c:idx val="1"/>
          <c:order val="1"/>
          <c:tx>
            <c:strRef>
              <c:f>'[大米直链淀粉方法数据(3).xls]样品集划分'!$J$10</c:f>
              <c:strCache>
                <c:ptCount val="1"/>
                <c:pt idx="0">
                  <c:v>验证集样品（个）</c:v>
                </c:pt>
              </c:strCache>
            </c:strRef>
          </c:tx>
          <c:spPr>
            <a:solidFill>
              <a:schemeClr val="accent2"/>
            </a:solidFill>
            <a:ln>
              <a:noFill/>
            </a:ln>
            <a:effectLst/>
          </c:spPr>
          <c:invertIfNegative val="0"/>
          <c:dLbls>
            <c:delete val="1"/>
          </c:dLbls>
          <c:cat>
            <c:strRef>
              <c:f>'[大米直链淀粉方法数据(3).xls]样品集划分'!$H$11:$H$13</c:f>
              <c:strCache>
                <c:ptCount val="3"/>
                <c:pt idx="0">
                  <c:v>2.0~3.5</c:v>
                </c:pt>
                <c:pt idx="1">
                  <c:v>15.0~19.9</c:v>
                </c:pt>
                <c:pt idx="2">
                  <c:v>20.0~30.0</c:v>
                </c:pt>
              </c:strCache>
            </c:strRef>
          </c:cat>
          <c:val>
            <c:numRef>
              <c:f>'[大米直链淀粉方法数据(3).xls]样品集划分'!$J$11:$J$13</c:f>
              <c:numCache>
                <c:formatCode>General</c:formatCode>
                <c:ptCount val="3"/>
                <c:pt idx="0">
                  <c:v>4</c:v>
                </c:pt>
                <c:pt idx="1">
                  <c:v>19</c:v>
                </c:pt>
                <c:pt idx="2">
                  <c:v>7</c:v>
                </c:pt>
              </c:numCache>
            </c:numRef>
          </c:val>
        </c:ser>
        <c:dLbls>
          <c:showLegendKey val="0"/>
          <c:showVal val="0"/>
          <c:showCatName val="0"/>
          <c:showSerName val="0"/>
          <c:showPercent val="0"/>
          <c:showBubbleSize val="0"/>
        </c:dLbls>
        <c:gapWidth val="150"/>
        <c:overlap val="0"/>
        <c:axId val="621448433"/>
        <c:axId val="986388567"/>
      </c:barChart>
      <c:catAx>
        <c:axId val="621448433"/>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b="1"/>
                  <a:t>直链淀粉含量（%）</a:t>
                </a:r>
                <a:endParaRPr b="1"/>
              </a:p>
            </c:rich>
          </c:tx>
          <c:layout/>
          <c:overlay val="0"/>
          <c:spPr>
            <a:noFill/>
            <a:ln>
              <a:noFill/>
            </a:ln>
            <a:effectLst/>
          </c:spPr>
        </c:title>
        <c:majorTickMark val="in"/>
        <c:minorTickMark val="none"/>
        <c:tickLblPos val="nextTo"/>
        <c:spPr>
          <a:noFill/>
          <a:ln w="9525" cap="flat" cmpd="sng" algn="ctr">
            <a:solidFill>
              <a:srgbClr val="000000"/>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986388567"/>
        <c:crosses val="autoZero"/>
        <c:auto val="1"/>
        <c:lblAlgn val="ctr"/>
        <c:lblOffset val="100"/>
        <c:noMultiLvlLbl val="0"/>
      </c:catAx>
      <c:valAx>
        <c:axId val="986388567"/>
        <c:scaling>
          <c:orientation val="minMax"/>
          <c:max val="100"/>
        </c:scaling>
        <c:delete val="0"/>
        <c:axPos val="l"/>
        <c:majorGridlines>
          <c:spPr>
            <a:ln w="9525" cap="flat" cmpd="sng" algn="ctr">
              <a:no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b="1"/>
                  <a:t>样品数量（个）</a:t>
                </a:r>
                <a:endParaRPr altLang="en-US" b="1"/>
              </a:p>
            </c:rich>
          </c:tx>
          <c:layout/>
          <c:overlay val="0"/>
          <c:spPr>
            <a:noFill/>
            <a:ln>
              <a:noFill/>
            </a:ln>
            <a:effectLst/>
          </c:spPr>
        </c:title>
        <c:numFmt formatCode="General" sourceLinked="1"/>
        <c:majorTickMark val="in"/>
        <c:minorTickMark val="none"/>
        <c:tickLblPos val="nextTo"/>
        <c:spPr>
          <a:noFill/>
          <a:ln w="12700" cmpd="sng">
            <a:solidFill>
              <a:srgbClr val="000000"/>
            </a:solidFill>
            <a:prstDash val="soli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621448433"/>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76caed70-0d09-4299-a928-e75dfad42daf}"/>
      </c:ext>
    </c:extLst>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Lbls>
            <c:delete val="1"/>
          </c:dLbls>
          <c:trendline>
            <c:spPr>
              <a:ln w="19050" cap="rnd">
                <a:solidFill>
                  <a:schemeClr val="accent1"/>
                </a:solidFill>
                <a:prstDash val="sysDot"/>
              </a:ln>
              <a:effectLst/>
            </c:spPr>
            <c:trendlineType val="linear"/>
            <c:dispRSqr val="1"/>
            <c:dispEq val="0"/>
            <c:trendlineLbl>
              <c:layout>
                <c:manualLayout>
                  <c:x val="-0.461264175632451"/>
                  <c:y val="0.0217374213836478"/>
                </c:manualLayout>
              </c:layout>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trendlineLbl>
          </c:trendline>
          <c:xVal>
            <c:numRef>
              <c:f>'[大米直链淀粉方法数据(3).xls]模型验证'!$C$4:$C$33</c:f>
              <c:numCache>
                <c:formatCode>0.0_);[Red]\(0.0\)</c:formatCode>
                <c:ptCount val="30"/>
                <c:pt idx="0">
                  <c:v>3.0999999</c:v>
                </c:pt>
                <c:pt idx="1">
                  <c:v>3.20000005</c:v>
                </c:pt>
                <c:pt idx="2">
                  <c:v>3.29999995</c:v>
                </c:pt>
                <c:pt idx="3">
                  <c:v>3.5</c:v>
                </c:pt>
                <c:pt idx="4">
                  <c:v>15.3999996</c:v>
                </c:pt>
                <c:pt idx="5">
                  <c:v>15.5</c:v>
                </c:pt>
                <c:pt idx="6">
                  <c:v>15.6000004</c:v>
                </c:pt>
                <c:pt idx="7">
                  <c:v>15.6000004</c:v>
                </c:pt>
                <c:pt idx="8">
                  <c:v>15.6999998</c:v>
                </c:pt>
                <c:pt idx="9">
                  <c:v>15.8999996</c:v>
                </c:pt>
                <c:pt idx="10">
                  <c:v>15.8999996</c:v>
                </c:pt>
                <c:pt idx="11">
                  <c:v>16.1000004</c:v>
                </c:pt>
                <c:pt idx="12">
                  <c:v>16.2000008</c:v>
                </c:pt>
                <c:pt idx="13">
                  <c:v>16.2000008</c:v>
                </c:pt>
                <c:pt idx="14">
                  <c:v>16.2999992</c:v>
                </c:pt>
                <c:pt idx="15">
                  <c:v>16.3999996</c:v>
                </c:pt>
                <c:pt idx="16">
                  <c:v>16.5</c:v>
                </c:pt>
                <c:pt idx="17">
                  <c:v>16.5</c:v>
                </c:pt>
                <c:pt idx="18">
                  <c:v>16.6000004</c:v>
                </c:pt>
                <c:pt idx="19">
                  <c:v>16.7000008</c:v>
                </c:pt>
                <c:pt idx="20">
                  <c:v>16.7999992</c:v>
                </c:pt>
                <c:pt idx="21">
                  <c:v>17.1000004</c:v>
                </c:pt>
                <c:pt idx="22">
                  <c:v>17.6000004</c:v>
                </c:pt>
                <c:pt idx="23">
                  <c:v>25.2999992</c:v>
                </c:pt>
                <c:pt idx="24">
                  <c:v>25.8999996</c:v>
                </c:pt>
                <c:pt idx="25">
                  <c:v>26.2999992</c:v>
                </c:pt>
                <c:pt idx="26">
                  <c:v>26.3999996</c:v>
                </c:pt>
                <c:pt idx="27">
                  <c:v>26.7000008</c:v>
                </c:pt>
                <c:pt idx="28">
                  <c:v>26.8999996</c:v>
                </c:pt>
                <c:pt idx="29">
                  <c:v>27.2000008</c:v>
                </c:pt>
              </c:numCache>
            </c:numRef>
          </c:xVal>
          <c:yVal>
            <c:numRef>
              <c:f>'[大米直链淀粉方法数据(3).xls]模型验证'!$D$4:$D$33</c:f>
              <c:numCache>
                <c:formatCode>0.00_ </c:formatCode>
                <c:ptCount val="30"/>
                <c:pt idx="0">
                  <c:v>4.173721</c:v>
                </c:pt>
                <c:pt idx="1">
                  <c:v>4.454605</c:v>
                </c:pt>
                <c:pt idx="2">
                  <c:v>4.65918</c:v>
                </c:pt>
                <c:pt idx="3">
                  <c:v>3.449463</c:v>
                </c:pt>
                <c:pt idx="4">
                  <c:v>17.56613</c:v>
                </c:pt>
                <c:pt idx="5">
                  <c:v>15.76046</c:v>
                </c:pt>
                <c:pt idx="6">
                  <c:v>16.24128</c:v>
                </c:pt>
                <c:pt idx="7">
                  <c:v>16.35168</c:v>
                </c:pt>
                <c:pt idx="8">
                  <c:v>15.71997</c:v>
                </c:pt>
                <c:pt idx="9">
                  <c:v>16.2338</c:v>
                </c:pt>
                <c:pt idx="10">
                  <c:v>15.65503</c:v>
                </c:pt>
                <c:pt idx="11">
                  <c:v>15.43689</c:v>
                </c:pt>
                <c:pt idx="12">
                  <c:v>15.72331</c:v>
                </c:pt>
                <c:pt idx="13">
                  <c:v>16.043</c:v>
                </c:pt>
                <c:pt idx="14">
                  <c:v>15.63576</c:v>
                </c:pt>
                <c:pt idx="15">
                  <c:v>16.7574</c:v>
                </c:pt>
                <c:pt idx="16">
                  <c:v>15.19318</c:v>
                </c:pt>
                <c:pt idx="17">
                  <c:v>16.66271</c:v>
                </c:pt>
                <c:pt idx="18">
                  <c:v>16.08819</c:v>
                </c:pt>
                <c:pt idx="19">
                  <c:v>16.76637</c:v>
                </c:pt>
                <c:pt idx="20">
                  <c:v>17.6948</c:v>
                </c:pt>
                <c:pt idx="21">
                  <c:v>13.71941</c:v>
                </c:pt>
                <c:pt idx="22">
                  <c:v>18.38212</c:v>
                </c:pt>
                <c:pt idx="23">
                  <c:v>25.18516</c:v>
                </c:pt>
                <c:pt idx="24">
                  <c:v>25.51293</c:v>
                </c:pt>
                <c:pt idx="25">
                  <c:v>26.53906</c:v>
                </c:pt>
                <c:pt idx="26">
                  <c:v>24.7817</c:v>
                </c:pt>
                <c:pt idx="27">
                  <c:v>27.91431</c:v>
                </c:pt>
                <c:pt idx="28">
                  <c:v>24.38491</c:v>
                </c:pt>
                <c:pt idx="29">
                  <c:v>28.20798</c:v>
                </c:pt>
              </c:numCache>
            </c:numRef>
          </c:yVal>
          <c:smooth val="0"/>
        </c:ser>
        <c:dLbls>
          <c:showLegendKey val="0"/>
          <c:showVal val="0"/>
          <c:showCatName val="0"/>
          <c:showSerName val="0"/>
          <c:showPercent val="0"/>
          <c:showBubbleSize val="0"/>
        </c:dLbls>
        <c:axId val="343544718"/>
        <c:axId val="296871884"/>
      </c:scatterChart>
      <c:valAx>
        <c:axId val="343544718"/>
        <c:scaling>
          <c:orientation val="minMax"/>
        </c:scaling>
        <c:delete val="0"/>
        <c:axPos val="b"/>
        <c:majorGridlines>
          <c:spPr>
            <a:ln w="9525" cap="flat" cmpd="sng" algn="ctr">
              <a:noFill/>
              <a:round/>
            </a:ln>
            <a:effectLst/>
          </c:spPr>
        </c:majorGridlines>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b="1">
                    <a:latin typeface="Times New Roman" panose="02020603050405020304" charset="0"/>
                    <a:ea typeface="Times New Roman" panose="02020603050405020304" charset="0"/>
                    <a:cs typeface="Times New Roman" panose="02020603050405020304" charset="0"/>
                    <a:sym typeface="Times New Roman" panose="02020603050405020304" charset="0"/>
                  </a:rPr>
                  <a:t>标准化学值</a:t>
                </a:r>
                <a:r>
                  <a:rPr lang="en-US" altLang="zh-CN" b="1">
                    <a:latin typeface="Times New Roman" panose="02020603050405020304" charset="0"/>
                    <a:ea typeface="Times New Roman" panose="02020603050405020304" charset="0"/>
                    <a:cs typeface="Times New Roman" panose="02020603050405020304" charset="0"/>
                    <a:sym typeface="Times New Roman" panose="02020603050405020304" charset="0"/>
                  </a:rPr>
                  <a:t>/%</a:t>
                </a:r>
                <a:endParaRPr lang="en-US" altLang="zh-CN" b="1">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470960526315789"/>
              <c:y val="0.884027777777778"/>
            </c:manualLayout>
          </c:layout>
          <c:overlay val="0"/>
          <c:spPr>
            <a:noFill/>
            <a:ln>
              <a:noFill/>
            </a:ln>
            <a:effectLst/>
          </c:spPr>
        </c:title>
        <c:numFmt formatCode="0.0_);[Red]\(0.0\)" sourceLinked="1"/>
        <c:majorTickMark val="in"/>
        <c:minorTickMark val="in"/>
        <c:tickLblPos val="nextTo"/>
        <c:spPr>
          <a:noFill/>
          <a:ln w="9525" cap="flat" cmpd="sng" algn="ctr">
            <a:solidFill>
              <a:srgbClr val="000000"/>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96871884"/>
        <c:crosses val="autoZero"/>
        <c:crossBetween val="midCat"/>
        <c:majorUnit val="5"/>
        <c:minorUnit val="1"/>
      </c:valAx>
      <c:valAx>
        <c:axId val="296871884"/>
        <c:scaling>
          <c:orientation val="minMax"/>
        </c:scaling>
        <c:delete val="0"/>
        <c:axPos val="l"/>
        <c:majorGridlines>
          <c:spPr>
            <a:ln w="9525" cap="flat" cmpd="sng" algn="ctr">
              <a:no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b="1">
                    <a:latin typeface="Times New Roman" panose="02020603050405020304" charset="0"/>
                    <a:ea typeface="Times New Roman" panose="02020603050405020304" charset="0"/>
                    <a:cs typeface="Times New Roman" panose="02020603050405020304" charset="0"/>
                    <a:sym typeface="Times New Roman" panose="02020603050405020304" charset="0"/>
                  </a:rPr>
                  <a:t>预测值/%</a:t>
                </a:r>
                <a:endParaRPr b="1">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overlay val="0"/>
          <c:spPr>
            <a:noFill/>
            <a:ln>
              <a:noFill/>
            </a:ln>
            <a:effectLst/>
          </c:spPr>
        </c:title>
        <c:numFmt formatCode="0.00_ " sourceLinked="1"/>
        <c:majorTickMark val="in"/>
        <c:minorTickMark val="out"/>
        <c:tickLblPos val="nextTo"/>
        <c:spPr>
          <a:noFill/>
          <a:ln w="9525" cap="flat" cmpd="sng" algn="ctr">
            <a:solidFill>
              <a:srgbClr val="000000"/>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343544718"/>
        <c:crosses val="autoZero"/>
        <c:crossBetween val="midCat"/>
      </c:valAx>
      <c:spPr>
        <a:noFill/>
        <a:ln w="9525" cap="flat" cmpd="sng" algn="ctr">
          <a:noFill/>
          <a:round/>
        </a:ln>
        <a:effectLst/>
      </c:spPr>
    </c:plotArea>
    <c:plotVisOnly val="1"/>
    <c:dispBlanksAs val="gap"/>
    <c:showDLblsOverMax val="0"/>
    <c:extLst>
      <c:ext uri="{0b15fc19-7d7d-44ad-8c2d-2c3a37ce22c3}">
        <chartProps xmlns="https://web.wps.cn/et/2018/main" chartId="{79ff9563-f4a8-4356-b73d-beab7f5fa844}"/>
      </c:ext>
    </c:extLst>
  </c:chart>
  <c:spPr>
    <a:solidFill>
      <a:schemeClr val="bg1"/>
    </a:solidFill>
    <a:ln w="9525" cap="flat" cmpd="sng" algn="ctr">
      <a:noFill/>
      <a:round/>
    </a:ln>
    <a:effectLst/>
  </c:spPr>
  <c:txPr>
    <a:bodyPr/>
    <a:lstStyle/>
    <a:p>
      <a:pPr>
        <a:defRPr lang="zh-CN">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Lbls>
            <c:delete val="1"/>
          </c:dLbls>
          <c:trendline>
            <c:spPr>
              <a:ln w="19050" cap="rnd">
                <a:solidFill>
                  <a:schemeClr val="accent1"/>
                </a:solidFill>
                <a:prstDash val="sysDot"/>
              </a:ln>
              <a:effectLst/>
            </c:spPr>
            <c:trendlineType val="linear"/>
            <c:dispRSqr val="1"/>
            <c:dispEq val="0"/>
            <c:trendlineLbl>
              <c:layout>
                <c:manualLayout>
                  <c:x val="-0.469736842105263"/>
                  <c:y val="0.0451388888888889"/>
                </c:manualLayout>
              </c:layout>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trendlineLbl>
          </c:trendline>
          <c:xVal>
            <c:numRef>
              <c:f>'[大米直链淀粉方法数据(3).xls]模型验证'!$C$4:$C$33</c:f>
              <c:numCache>
                <c:formatCode>0.0_);[Red]\(0.0\)</c:formatCode>
                <c:ptCount val="30"/>
                <c:pt idx="0">
                  <c:v>3.0999999</c:v>
                </c:pt>
                <c:pt idx="1">
                  <c:v>3.20000005</c:v>
                </c:pt>
                <c:pt idx="2">
                  <c:v>3.29999995</c:v>
                </c:pt>
                <c:pt idx="3">
                  <c:v>3.5</c:v>
                </c:pt>
                <c:pt idx="4">
                  <c:v>15.3999996</c:v>
                </c:pt>
                <c:pt idx="5">
                  <c:v>15.5</c:v>
                </c:pt>
                <c:pt idx="6">
                  <c:v>15.6000004</c:v>
                </c:pt>
                <c:pt idx="7">
                  <c:v>15.6000004</c:v>
                </c:pt>
                <c:pt idx="8">
                  <c:v>15.6999998</c:v>
                </c:pt>
                <c:pt idx="9">
                  <c:v>15.8999996</c:v>
                </c:pt>
                <c:pt idx="10">
                  <c:v>15.8999996</c:v>
                </c:pt>
                <c:pt idx="11">
                  <c:v>16.1000004</c:v>
                </c:pt>
                <c:pt idx="12">
                  <c:v>16.2000008</c:v>
                </c:pt>
                <c:pt idx="13">
                  <c:v>16.2000008</c:v>
                </c:pt>
                <c:pt idx="14">
                  <c:v>16.2999992</c:v>
                </c:pt>
                <c:pt idx="15">
                  <c:v>16.3999996</c:v>
                </c:pt>
                <c:pt idx="16">
                  <c:v>16.5</c:v>
                </c:pt>
                <c:pt idx="17">
                  <c:v>16.5</c:v>
                </c:pt>
                <c:pt idx="18">
                  <c:v>16.6000004</c:v>
                </c:pt>
                <c:pt idx="19">
                  <c:v>16.7000008</c:v>
                </c:pt>
                <c:pt idx="20">
                  <c:v>16.7999992</c:v>
                </c:pt>
                <c:pt idx="21">
                  <c:v>17.1000004</c:v>
                </c:pt>
                <c:pt idx="22">
                  <c:v>17.6000004</c:v>
                </c:pt>
                <c:pt idx="23">
                  <c:v>25.2999992</c:v>
                </c:pt>
                <c:pt idx="24">
                  <c:v>25.8999996</c:v>
                </c:pt>
                <c:pt idx="25">
                  <c:v>26.2999992</c:v>
                </c:pt>
                <c:pt idx="26">
                  <c:v>26.3999996</c:v>
                </c:pt>
                <c:pt idx="27">
                  <c:v>26.7000008</c:v>
                </c:pt>
                <c:pt idx="28">
                  <c:v>26.8999996</c:v>
                </c:pt>
                <c:pt idx="29">
                  <c:v>27.2000008</c:v>
                </c:pt>
              </c:numCache>
            </c:numRef>
          </c:xVal>
          <c:yVal>
            <c:numRef>
              <c:f>'[大米直链淀粉方法数据(3).xls]模型验证'!$I$4:$I$33</c:f>
              <c:numCache>
                <c:formatCode>0.00_ </c:formatCode>
                <c:ptCount val="30"/>
                <c:pt idx="0">
                  <c:v>2.832481602</c:v>
                </c:pt>
                <c:pt idx="1">
                  <c:v>4.503624483</c:v>
                </c:pt>
                <c:pt idx="2">
                  <c:v>4.518650754</c:v>
                </c:pt>
                <c:pt idx="3">
                  <c:v>2.600950876</c:v>
                </c:pt>
                <c:pt idx="4">
                  <c:v>15.589876891</c:v>
                </c:pt>
                <c:pt idx="5">
                  <c:v>16.401023411</c:v>
                </c:pt>
                <c:pt idx="6">
                  <c:v>15.171268136</c:v>
                </c:pt>
                <c:pt idx="7">
                  <c:v>18.515354227</c:v>
                </c:pt>
                <c:pt idx="8">
                  <c:v>14.503819135</c:v>
                </c:pt>
                <c:pt idx="9">
                  <c:v>16.662908764</c:v>
                </c:pt>
                <c:pt idx="10">
                  <c:v>17.410093204</c:v>
                </c:pt>
                <c:pt idx="11">
                  <c:v>16.020333369</c:v>
                </c:pt>
                <c:pt idx="12">
                  <c:v>16.357163024</c:v>
                </c:pt>
                <c:pt idx="13">
                  <c:v>16.394184098</c:v>
                </c:pt>
                <c:pt idx="14">
                  <c:v>16.744758235</c:v>
                </c:pt>
                <c:pt idx="15">
                  <c:v>16.100676804</c:v>
                </c:pt>
                <c:pt idx="16">
                  <c:v>17.049985652</c:v>
                </c:pt>
                <c:pt idx="17">
                  <c:v>16.533132142</c:v>
                </c:pt>
                <c:pt idx="18">
                  <c:v>16.312177775</c:v>
                </c:pt>
                <c:pt idx="19">
                  <c:v>16.459120426</c:v>
                </c:pt>
                <c:pt idx="20">
                  <c:v>16.102160699</c:v>
                </c:pt>
                <c:pt idx="21">
                  <c:v>17.55593144</c:v>
                </c:pt>
                <c:pt idx="22">
                  <c:v>16.274996634</c:v>
                </c:pt>
                <c:pt idx="23">
                  <c:v>27.881317931</c:v>
                </c:pt>
                <c:pt idx="24">
                  <c:v>25.454577891</c:v>
                </c:pt>
                <c:pt idx="25">
                  <c:v>25.948652237</c:v>
                </c:pt>
                <c:pt idx="26">
                  <c:v>25.690888219</c:v>
                </c:pt>
                <c:pt idx="27">
                  <c:v>25.915602309</c:v>
                </c:pt>
                <c:pt idx="28">
                  <c:v>26.425046437</c:v>
                </c:pt>
                <c:pt idx="29">
                  <c:v>26.054799333</c:v>
                </c:pt>
              </c:numCache>
            </c:numRef>
          </c:yVal>
          <c:smooth val="0"/>
        </c:ser>
        <c:dLbls>
          <c:showLegendKey val="0"/>
          <c:showVal val="0"/>
          <c:showCatName val="0"/>
          <c:showSerName val="0"/>
          <c:showPercent val="0"/>
          <c:showBubbleSize val="0"/>
        </c:dLbls>
        <c:axId val="270868840"/>
        <c:axId val="789846404"/>
      </c:scatterChart>
      <c:valAx>
        <c:axId val="270868840"/>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b="1"/>
                  <a:t>标准化学值</a:t>
                </a:r>
                <a:r>
                  <a:rPr lang="en-US" altLang="zh-CN" b="1"/>
                  <a:t>/%</a:t>
                </a:r>
                <a:endParaRPr lang="en-US" altLang="zh-CN" b="1"/>
              </a:p>
            </c:rich>
          </c:tx>
          <c:layout/>
          <c:overlay val="0"/>
          <c:spPr>
            <a:noFill/>
            <a:ln>
              <a:noFill/>
            </a:ln>
            <a:effectLst/>
          </c:spPr>
        </c:title>
        <c:numFmt formatCode="0.0_);[Red]\(0.0\)" sourceLinked="1"/>
        <c:majorTickMark val="in"/>
        <c:minorTickMark val="in"/>
        <c:tickLblPos val="nextTo"/>
        <c:spPr>
          <a:noFill/>
          <a:ln w="9525" cap="flat" cmpd="sng" algn="ctr">
            <a:solidFill>
              <a:srgbClr val="000000"/>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789846404"/>
        <c:crosses val="autoZero"/>
        <c:crossBetween val="midCat"/>
      </c:valAx>
      <c:valAx>
        <c:axId val="789846404"/>
        <c:scaling>
          <c:orientation val="minMax"/>
        </c:scaling>
        <c:delete val="0"/>
        <c:axPos val="l"/>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b="1"/>
                  <a:t>预测值</a:t>
                </a:r>
                <a:r>
                  <a:rPr lang="en-US" altLang="zh-CN" b="1"/>
                  <a:t>/%</a:t>
                </a:r>
                <a:endParaRPr lang="en-US" altLang="zh-CN" b="1"/>
              </a:p>
            </c:rich>
          </c:tx>
          <c:layout/>
          <c:overlay val="0"/>
          <c:spPr>
            <a:noFill/>
            <a:ln>
              <a:noFill/>
            </a:ln>
            <a:effectLst/>
          </c:spPr>
        </c:title>
        <c:numFmt formatCode="0.00_ " sourceLinked="1"/>
        <c:majorTickMark val="in"/>
        <c:minorTickMark val="in"/>
        <c:tickLblPos val="nextTo"/>
        <c:spPr>
          <a:noFill/>
          <a:ln w="9525" cap="flat" cmpd="sng" algn="ctr">
            <a:solidFill>
              <a:srgbClr val="000000"/>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70868840"/>
        <c:crosses val="autoZero"/>
        <c:crossBetween val="midCat"/>
      </c:valAx>
      <c:spPr>
        <a:noFill/>
        <a:ln w="9525" cap="flat" cmpd="sng" algn="ctr">
          <a:noFill/>
          <a:round/>
        </a:ln>
        <a:effectLst/>
      </c:spPr>
    </c:plotArea>
    <c:plotVisOnly val="1"/>
    <c:dispBlanksAs val="gap"/>
    <c:showDLblsOverMax val="0"/>
    <c:extLst>
      <c:ext uri="{0b15fc19-7d7d-44ad-8c2d-2c3a37ce22c3}">
        <chartProps xmlns="https://web.wps.cn/et/2018/main" chartId="{469fbaf3-dff9-4410-98e9-b9f3fa4f3b2c}"/>
      </c:ext>
    </c:extLst>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Lbls>
            <c:delete val="1"/>
          </c:dLbls>
          <c:trendline>
            <c:spPr>
              <a:ln w="19050" cap="rnd">
                <a:solidFill>
                  <a:schemeClr val="accent1"/>
                </a:solidFill>
                <a:prstDash val="sysDot"/>
              </a:ln>
              <a:effectLst/>
            </c:spPr>
            <c:trendlineType val="linear"/>
            <c:dispRSqr val="1"/>
            <c:dispEq val="1"/>
            <c:trendlineLbl>
              <c:layout>
                <c:manualLayout>
                  <c:x val="-0.311782001991213"/>
                  <c:y val="0.2158019542853"/>
                </c:manualLayout>
              </c:layout>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trendlineLbl>
          </c:trendline>
          <c:xVal>
            <c:numRef>
              <c:f>'[大米直链淀粉方法数据(3).xls]外部验证'!$J$2:$J$7</c:f>
              <c:numCache>
                <c:formatCode>General</c:formatCode>
                <c:ptCount val="6"/>
                <c:pt idx="1" c:formatCode="0.0_ ">
                  <c:v>27</c:v>
                </c:pt>
                <c:pt idx="2" c:formatCode="0.0_ ">
                  <c:v>3.4</c:v>
                </c:pt>
                <c:pt idx="3" c:formatCode="0.0_ ">
                  <c:v>16.9</c:v>
                </c:pt>
                <c:pt idx="4" c:formatCode="0.0_ ">
                  <c:v>24.8</c:v>
                </c:pt>
                <c:pt idx="5" c:formatCode="0.0_ ">
                  <c:v>18.2</c:v>
                </c:pt>
              </c:numCache>
            </c:numRef>
          </c:xVal>
          <c:yVal>
            <c:numRef>
              <c:f>'[大米直链淀粉方法数据(3).xls]外部验证'!$K$2:$K$7</c:f>
              <c:numCache>
                <c:formatCode>0.0_ </c:formatCode>
                <c:ptCount val="6"/>
                <c:pt idx="0">
                  <c:v>0</c:v>
                </c:pt>
                <c:pt idx="1">
                  <c:v>25.87</c:v>
                </c:pt>
                <c:pt idx="2">
                  <c:v>3.25</c:v>
                </c:pt>
                <c:pt idx="3">
                  <c:v>17.96</c:v>
                </c:pt>
                <c:pt idx="4">
                  <c:v>23.84</c:v>
                </c:pt>
                <c:pt idx="5">
                  <c:v>16.87</c:v>
                </c:pt>
              </c:numCache>
            </c:numRef>
          </c:yVal>
          <c:smooth val="0"/>
        </c:ser>
        <c:ser>
          <c:idx val="1"/>
          <c:order val="1"/>
          <c:spPr>
            <a:ln w="19050" cap="rnd">
              <a:noFill/>
              <a:round/>
            </a:ln>
            <a:effectLst/>
          </c:spPr>
          <c:marker>
            <c:symbol val="circle"/>
            <c:size val="5"/>
            <c:spPr>
              <a:solidFill>
                <a:schemeClr val="accent2"/>
              </a:solidFill>
              <a:ln w="9525">
                <a:solidFill>
                  <a:schemeClr val="accent2"/>
                </a:solidFill>
              </a:ln>
              <a:effectLst/>
            </c:spPr>
          </c:marker>
          <c:dLbls>
            <c:delete val="1"/>
          </c:dLbls>
          <c:trendline>
            <c:spPr>
              <a:ln w="19050" cap="rnd">
                <a:solidFill>
                  <a:schemeClr val="accent2"/>
                </a:solidFill>
                <a:prstDash val="sysDot"/>
              </a:ln>
              <a:effectLst/>
            </c:spPr>
            <c:trendlineType val="linear"/>
            <c:dispRSqr val="1"/>
            <c:dispEq val="1"/>
            <c:trendlineLbl>
              <c:layout>
                <c:manualLayout>
                  <c:x val="-0.315162664601084"/>
                  <c:y val="0.103487410314117"/>
                </c:manualLayout>
              </c:layout>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trendlineLbl>
          </c:trendline>
          <c:xVal>
            <c:numRef>
              <c:f>'[大米直链淀粉方法数据(3).xls]外部验证'!$J$2:$J$7</c:f>
              <c:numCache>
                <c:formatCode>General</c:formatCode>
                <c:ptCount val="6"/>
                <c:pt idx="1" c:formatCode="0.0_ ">
                  <c:v>27</c:v>
                </c:pt>
                <c:pt idx="2" c:formatCode="0.0_ ">
                  <c:v>3.4</c:v>
                </c:pt>
                <c:pt idx="3" c:formatCode="0.0_ ">
                  <c:v>16.9</c:v>
                </c:pt>
                <c:pt idx="4" c:formatCode="0.0_ ">
                  <c:v>24.8</c:v>
                </c:pt>
                <c:pt idx="5" c:formatCode="0.0_ ">
                  <c:v>18.2</c:v>
                </c:pt>
              </c:numCache>
            </c:numRef>
          </c:xVal>
          <c:yVal>
            <c:numRef>
              <c:f>'[大米直链淀粉方法数据(3).xls]外部验证'!$L$2:$L$7</c:f>
              <c:numCache>
                <c:formatCode>0.0_ </c:formatCode>
                <c:ptCount val="6"/>
                <c:pt idx="0">
                  <c:v>0</c:v>
                </c:pt>
                <c:pt idx="1">
                  <c:v>25.88</c:v>
                </c:pt>
                <c:pt idx="2">
                  <c:v>3.11</c:v>
                </c:pt>
                <c:pt idx="3">
                  <c:v>18.08</c:v>
                </c:pt>
                <c:pt idx="4">
                  <c:v>23.9</c:v>
                </c:pt>
                <c:pt idx="5">
                  <c:v>17.1</c:v>
                </c:pt>
              </c:numCache>
            </c:numRef>
          </c:yVal>
          <c:smooth val="0"/>
        </c:ser>
        <c:ser>
          <c:idx val="2"/>
          <c:order val="2"/>
          <c:spPr>
            <a:ln w="19050" cap="rnd">
              <a:noFill/>
              <a:round/>
            </a:ln>
            <a:effectLst/>
          </c:spPr>
          <c:marker>
            <c:symbol val="circle"/>
            <c:size val="5"/>
            <c:spPr>
              <a:solidFill>
                <a:schemeClr val="accent3"/>
              </a:solidFill>
              <a:ln w="9525">
                <a:solidFill>
                  <a:schemeClr val="accent3"/>
                </a:solidFill>
              </a:ln>
              <a:effectLst/>
            </c:spPr>
          </c:marker>
          <c:dLbls>
            <c:delete val="1"/>
          </c:dLbls>
          <c:trendline>
            <c:spPr>
              <a:ln w="19050" cap="rnd">
                <a:solidFill>
                  <a:schemeClr val="accent3"/>
                </a:solidFill>
                <a:prstDash val="sysDot"/>
              </a:ln>
              <a:effectLst/>
            </c:spPr>
            <c:trendlineType val="linear"/>
            <c:dispRSqr val="1"/>
            <c:dispEq val="1"/>
            <c:trendlineLbl>
              <c:layout>
                <c:manualLayout>
                  <c:x val="-0.318067389620449"/>
                  <c:y val="-0.0136783574255921"/>
                </c:manualLayout>
              </c:layout>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trendlineLbl>
          </c:trendline>
          <c:xVal>
            <c:numRef>
              <c:f>'[大米直链淀粉方法数据(3).xls]外部验证'!$J$2:$J$7</c:f>
              <c:numCache>
                <c:formatCode>General</c:formatCode>
                <c:ptCount val="6"/>
                <c:pt idx="1" c:formatCode="0.0_ ">
                  <c:v>27</c:v>
                </c:pt>
                <c:pt idx="2" c:formatCode="0.0_ ">
                  <c:v>3.4</c:v>
                </c:pt>
                <c:pt idx="3" c:formatCode="0.0_ ">
                  <c:v>16.9</c:v>
                </c:pt>
                <c:pt idx="4" c:formatCode="0.0_ ">
                  <c:v>24.8</c:v>
                </c:pt>
                <c:pt idx="5" c:formatCode="0.0_ ">
                  <c:v>18.2</c:v>
                </c:pt>
              </c:numCache>
            </c:numRef>
          </c:xVal>
          <c:yVal>
            <c:numRef>
              <c:f>'[大米直链淀粉方法数据(3).xls]外部验证'!$M$2:$M$7</c:f>
              <c:numCache>
                <c:formatCode>General</c:formatCode>
                <c:ptCount val="6"/>
                <c:pt idx="0">
                  <c:v>0</c:v>
                </c:pt>
                <c:pt idx="1" c:formatCode="0.0_ ">
                  <c:v>26.02</c:v>
                </c:pt>
                <c:pt idx="2" c:formatCode="0.0_ ">
                  <c:v>3.23</c:v>
                </c:pt>
                <c:pt idx="3" c:formatCode="0.0_ ">
                  <c:v>17.94</c:v>
                </c:pt>
                <c:pt idx="4" c:formatCode="0.0_ ">
                  <c:v>24.07</c:v>
                </c:pt>
                <c:pt idx="5" c:formatCode="0.0_ ">
                  <c:v>17.05</c:v>
                </c:pt>
              </c:numCache>
            </c:numRef>
          </c:yVal>
          <c:smooth val="0"/>
        </c:ser>
        <c:ser>
          <c:idx val="3"/>
          <c:order val="3"/>
          <c:spPr>
            <a:ln w="19050" cap="rnd">
              <a:noFill/>
              <a:round/>
            </a:ln>
            <a:effectLst/>
          </c:spPr>
          <c:marker>
            <c:symbol val="circle"/>
            <c:size val="5"/>
            <c:spPr>
              <a:solidFill>
                <a:schemeClr val="accent4"/>
              </a:solidFill>
              <a:ln w="9525">
                <a:solidFill>
                  <a:schemeClr val="accent4"/>
                </a:solidFill>
              </a:ln>
              <a:effectLst/>
            </c:spPr>
          </c:marker>
          <c:dLbls>
            <c:delete val="1"/>
          </c:dLbls>
          <c:trendline>
            <c:spPr>
              <a:ln w="19050" cap="rnd">
                <a:solidFill>
                  <a:schemeClr val="accent4"/>
                </a:solidFill>
                <a:prstDash val="sysDot"/>
              </a:ln>
              <a:effectLst/>
            </c:spPr>
            <c:trendlineType val="linear"/>
            <c:dispRSqr val="1"/>
            <c:dispEq val="1"/>
            <c:trendlineLbl>
              <c:layout>
                <c:manualLayout>
                  <c:x val="-0.314186239681909"/>
                  <c:y val="0.327404336291173"/>
                </c:manualLayout>
              </c:layout>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trendlineLbl>
          </c:trendline>
          <c:xVal>
            <c:numRef>
              <c:f>'[大米直链淀粉方法数据(3).xls]外部验证'!$J$2:$J$7</c:f>
              <c:numCache>
                <c:formatCode>General</c:formatCode>
                <c:ptCount val="6"/>
                <c:pt idx="1" c:formatCode="0.0_ ">
                  <c:v>27</c:v>
                </c:pt>
                <c:pt idx="2" c:formatCode="0.0_ ">
                  <c:v>3.4</c:v>
                </c:pt>
                <c:pt idx="3" c:formatCode="0.0_ ">
                  <c:v>16.9</c:v>
                </c:pt>
                <c:pt idx="4" c:formatCode="0.0_ ">
                  <c:v>24.8</c:v>
                </c:pt>
                <c:pt idx="5" c:formatCode="0.0_ ">
                  <c:v>18.2</c:v>
                </c:pt>
              </c:numCache>
            </c:numRef>
          </c:xVal>
          <c:yVal>
            <c:numRef>
              <c:f>'[大米直链淀粉方法数据(3).xls]外部验证'!$N$2:$N$7</c:f>
              <c:numCache>
                <c:formatCode>General</c:formatCode>
                <c:ptCount val="6"/>
                <c:pt idx="0">
                  <c:v>0</c:v>
                </c:pt>
                <c:pt idx="1" c:formatCode="0.0_ ">
                  <c:v>26.3</c:v>
                </c:pt>
                <c:pt idx="2" c:formatCode="0.0_ ">
                  <c:v>3.08</c:v>
                </c:pt>
                <c:pt idx="3" c:formatCode="0.0_ ">
                  <c:v>17.96</c:v>
                </c:pt>
                <c:pt idx="4" c:formatCode="0.0_ ">
                  <c:v>23.85</c:v>
                </c:pt>
                <c:pt idx="5" c:formatCode="0.0_ ">
                  <c:v>17.23</c:v>
                </c:pt>
              </c:numCache>
            </c:numRef>
          </c:yVal>
          <c:smooth val="0"/>
        </c:ser>
        <c:dLbls>
          <c:showLegendKey val="0"/>
          <c:showVal val="0"/>
          <c:showCatName val="0"/>
          <c:showSerName val="0"/>
          <c:showPercent val="0"/>
          <c:showBubbleSize val="0"/>
        </c:dLbls>
        <c:axId val="905014081"/>
        <c:axId val="349455540"/>
      </c:scatterChart>
      <c:valAx>
        <c:axId val="905014081"/>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标准化学值</a:t>
                </a:r>
                <a:r>
                  <a:rPr lang="en-US" altLang="zh-CN"/>
                  <a:t>/%</a:t>
                </a:r>
                <a:endParaRPr lang="en-US" altLang="zh-CN"/>
              </a:p>
            </c:rich>
          </c:tx>
          <c:layout/>
          <c:overlay val="0"/>
          <c:spPr>
            <a:noFill/>
            <a:ln>
              <a:noFill/>
            </a:ln>
            <a:effectLst/>
          </c:spPr>
        </c:title>
        <c:numFmt formatCode="General" sourceLinked="1"/>
        <c:majorTickMark val="in"/>
        <c:minorTickMark val="in"/>
        <c:tickLblPos val="nextTo"/>
        <c:spPr>
          <a:noFill/>
          <a:ln w="9525" cap="flat" cmpd="sng" algn="ctr">
            <a:solidFill>
              <a:srgbClr val="000000"/>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9455540"/>
        <c:crosses val="autoZero"/>
        <c:crossBetween val="midCat"/>
        <c:majorUnit val="2"/>
      </c:valAx>
      <c:valAx>
        <c:axId val="349455540"/>
        <c:scaling>
          <c:orientation val="minMax"/>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预测值</a:t>
                </a:r>
                <a:r>
                  <a:rPr lang="en-US" altLang="zh-CN"/>
                  <a:t>/%</a:t>
                </a:r>
                <a:endParaRPr lang="en-US" altLang="zh-CN"/>
              </a:p>
            </c:rich>
          </c:tx>
          <c:layout/>
          <c:overlay val="0"/>
          <c:spPr>
            <a:noFill/>
            <a:ln>
              <a:noFill/>
            </a:ln>
            <a:effectLst/>
          </c:spPr>
        </c:title>
        <c:numFmt formatCode="0.0_ " sourceLinked="1"/>
        <c:majorTickMark val="in"/>
        <c:minorTickMark val="in"/>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05014081"/>
        <c:crosses val="autoZero"/>
        <c:crossBetween val="midCat"/>
        <c:majorUnit val="2"/>
      </c:valAx>
      <c:spPr>
        <a:noFill/>
        <a:ln w="9525" cap="flat" cmpd="sng" algn="ctr">
          <a:noFill/>
          <a:round/>
        </a:ln>
        <a:effectLst/>
      </c:spPr>
    </c:plotArea>
    <c:legend>
      <c:legendPos val="r"/>
      <c:legendEntry>
        <c:idx val="4"/>
        <c:delete val="1"/>
      </c:legendEntry>
      <c:legendEntry>
        <c:idx val="5"/>
        <c:delete val="1"/>
      </c:legendEntry>
      <c:legendEntry>
        <c:idx val="6"/>
        <c:delete val="1"/>
      </c:legendEntry>
      <c:legendEntry>
        <c:idx val="7"/>
        <c:delete val="1"/>
      </c:legendEntry>
      <c:layout>
        <c:manualLayout>
          <c:xMode val="edge"/>
          <c:yMode val="edge"/>
          <c:x val="0.819519752130132"/>
          <c:y val="0.376287530133684"/>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02aef-acc4-4f25-9645-f99ce6e14032}"/>
      </c:ext>
    </c:extLst>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Lbls>
            <c:delete val="1"/>
          </c:dLbls>
          <c:trendline>
            <c:spPr>
              <a:ln w="19050" cap="rnd">
                <a:solidFill>
                  <a:schemeClr val="accent1"/>
                </a:solidFill>
                <a:prstDash val="sysDot"/>
              </a:ln>
              <a:effectLst/>
            </c:spPr>
            <c:trendlineType val="linear"/>
            <c:dispRSqr val="1"/>
            <c:dispEq val="1"/>
            <c:trendlineLbl>
              <c:layout>
                <c:manualLayout>
                  <c:x val="-0.311782001991213"/>
                  <c:y val="0.2158019542853"/>
                </c:manualLayout>
              </c:layout>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trendlineLbl>
          </c:trendline>
          <c:xVal>
            <c:numRef>
              <c:f>'[大米直链淀粉方法数据(3).xls]外部验证'!$J$2:$J$7</c:f>
              <c:numCache>
                <c:formatCode>General</c:formatCode>
                <c:ptCount val="6"/>
                <c:pt idx="1" c:formatCode="0.0_ ">
                  <c:v>27</c:v>
                </c:pt>
                <c:pt idx="2" c:formatCode="0.0_ ">
                  <c:v>3.4</c:v>
                </c:pt>
                <c:pt idx="3" c:formatCode="0.0_ ">
                  <c:v>16.9</c:v>
                </c:pt>
                <c:pt idx="4" c:formatCode="0.0_ ">
                  <c:v>24.8</c:v>
                </c:pt>
                <c:pt idx="5" c:formatCode="0.0_ ">
                  <c:v>18.2</c:v>
                </c:pt>
              </c:numCache>
            </c:numRef>
          </c:xVal>
          <c:yVal>
            <c:numRef>
              <c:f>'[大米直链淀粉方法数据(3).xls]外部验证'!$O$2:$O$7</c:f>
              <c:numCache>
                <c:formatCode>0.0_ </c:formatCode>
                <c:ptCount val="6"/>
                <c:pt idx="0">
                  <c:v>0</c:v>
                </c:pt>
                <c:pt idx="1">
                  <c:v>27.08</c:v>
                </c:pt>
                <c:pt idx="2">
                  <c:v>3.65</c:v>
                </c:pt>
                <c:pt idx="3">
                  <c:v>16.9</c:v>
                </c:pt>
                <c:pt idx="4">
                  <c:v>24.14</c:v>
                </c:pt>
                <c:pt idx="5">
                  <c:v>18.57</c:v>
                </c:pt>
              </c:numCache>
            </c:numRef>
          </c:yVal>
          <c:smooth val="0"/>
        </c:ser>
        <c:ser>
          <c:idx val="1"/>
          <c:order val="1"/>
          <c:spPr>
            <a:ln w="19050" cap="rnd">
              <a:noFill/>
              <a:round/>
            </a:ln>
            <a:effectLst/>
          </c:spPr>
          <c:marker>
            <c:symbol val="circle"/>
            <c:size val="5"/>
            <c:spPr>
              <a:solidFill>
                <a:schemeClr val="accent2"/>
              </a:solidFill>
              <a:ln w="9525">
                <a:solidFill>
                  <a:schemeClr val="accent2"/>
                </a:solidFill>
              </a:ln>
              <a:effectLst/>
            </c:spPr>
          </c:marker>
          <c:dLbls>
            <c:delete val="1"/>
          </c:dLbls>
          <c:trendline>
            <c:spPr>
              <a:ln w="19050" cap="rnd">
                <a:solidFill>
                  <a:schemeClr val="accent2"/>
                </a:solidFill>
                <a:prstDash val="sysDot"/>
              </a:ln>
              <a:effectLst/>
            </c:spPr>
            <c:trendlineType val="linear"/>
            <c:dispRSqr val="1"/>
            <c:dispEq val="1"/>
            <c:trendlineLbl>
              <c:layout>
                <c:manualLayout>
                  <c:x val="-0.315162664601084"/>
                  <c:y val="0.103487410314117"/>
                </c:manualLayout>
              </c:layout>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trendlineLbl>
          </c:trendline>
          <c:xVal>
            <c:numRef>
              <c:f>'[大米直链淀粉方法数据(3).xls]外部验证'!$J$2:$J$7</c:f>
              <c:numCache>
                <c:formatCode>General</c:formatCode>
                <c:ptCount val="6"/>
                <c:pt idx="1" c:formatCode="0.0_ ">
                  <c:v>27</c:v>
                </c:pt>
                <c:pt idx="2" c:formatCode="0.0_ ">
                  <c:v>3.4</c:v>
                </c:pt>
                <c:pt idx="3" c:formatCode="0.0_ ">
                  <c:v>16.9</c:v>
                </c:pt>
                <c:pt idx="4" c:formatCode="0.0_ ">
                  <c:v>24.8</c:v>
                </c:pt>
                <c:pt idx="5" c:formatCode="0.0_ ">
                  <c:v>18.2</c:v>
                </c:pt>
              </c:numCache>
            </c:numRef>
          </c:xVal>
          <c:yVal>
            <c:numRef>
              <c:f>'[大米直链淀粉方法数据(3).xls]外部验证'!$P$2:$P$7</c:f>
              <c:numCache>
                <c:formatCode>0.0_ </c:formatCode>
                <c:ptCount val="6"/>
                <c:pt idx="0">
                  <c:v>0</c:v>
                </c:pt>
                <c:pt idx="1">
                  <c:v>27.14</c:v>
                </c:pt>
                <c:pt idx="2">
                  <c:v>4.03</c:v>
                </c:pt>
                <c:pt idx="3">
                  <c:v>17.19</c:v>
                </c:pt>
                <c:pt idx="4">
                  <c:v>24.6</c:v>
                </c:pt>
                <c:pt idx="5">
                  <c:v>18.1</c:v>
                </c:pt>
              </c:numCache>
            </c:numRef>
          </c:yVal>
          <c:smooth val="0"/>
        </c:ser>
        <c:ser>
          <c:idx val="2"/>
          <c:order val="2"/>
          <c:spPr>
            <a:ln w="19050" cap="rnd">
              <a:noFill/>
              <a:round/>
            </a:ln>
            <a:effectLst/>
          </c:spPr>
          <c:marker>
            <c:symbol val="circle"/>
            <c:size val="5"/>
            <c:spPr>
              <a:solidFill>
                <a:schemeClr val="accent3"/>
              </a:solidFill>
              <a:ln w="9525">
                <a:solidFill>
                  <a:schemeClr val="accent3"/>
                </a:solidFill>
              </a:ln>
              <a:effectLst/>
            </c:spPr>
          </c:marker>
          <c:dLbls>
            <c:delete val="1"/>
          </c:dLbls>
          <c:trendline>
            <c:spPr>
              <a:ln w="19050" cap="rnd">
                <a:solidFill>
                  <a:schemeClr val="accent3"/>
                </a:solidFill>
                <a:prstDash val="sysDot"/>
              </a:ln>
              <a:effectLst/>
            </c:spPr>
            <c:trendlineType val="linear"/>
            <c:dispRSqr val="1"/>
            <c:dispEq val="1"/>
            <c:trendlineLbl>
              <c:layout>
                <c:manualLayout>
                  <c:x val="-0.318067389620449"/>
                  <c:y val="-0.0136783574255921"/>
                </c:manualLayout>
              </c:layout>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trendlineLbl>
          </c:trendline>
          <c:xVal>
            <c:numRef>
              <c:f>'[大米直链淀粉方法数据(3).xls]外部验证'!$J$2:$J$7</c:f>
              <c:numCache>
                <c:formatCode>General</c:formatCode>
                <c:ptCount val="6"/>
                <c:pt idx="1" c:formatCode="0.0_ ">
                  <c:v>27</c:v>
                </c:pt>
                <c:pt idx="2" c:formatCode="0.0_ ">
                  <c:v>3.4</c:v>
                </c:pt>
                <c:pt idx="3" c:formatCode="0.0_ ">
                  <c:v>16.9</c:v>
                </c:pt>
                <c:pt idx="4" c:formatCode="0.0_ ">
                  <c:v>24.8</c:v>
                </c:pt>
                <c:pt idx="5" c:formatCode="0.0_ ">
                  <c:v>18.2</c:v>
                </c:pt>
              </c:numCache>
            </c:numRef>
          </c:xVal>
          <c:yVal>
            <c:numRef>
              <c:f>'[大米直链淀粉方法数据(3).xls]外部验证'!$Q$2:$Q$7</c:f>
              <c:numCache>
                <c:formatCode>General</c:formatCode>
                <c:ptCount val="6"/>
                <c:pt idx="0">
                  <c:v>0</c:v>
                </c:pt>
                <c:pt idx="1" c:formatCode="0.0_ ">
                  <c:v>27.23</c:v>
                </c:pt>
                <c:pt idx="2" c:formatCode="0.0_ ">
                  <c:v>3.86</c:v>
                </c:pt>
                <c:pt idx="3" c:formatCode="0.0_ ">
                  <c:v>17.02</c:v>
                </c:pt>
                <c:pt idx="4" c:formatCode="0.0_ ">
                  <c:v>24.32</c:v>
                </c:pt>
                <c:pt idx="5" c:formatCode="0.0_ ">
                  <c:v>18.17</c:v>
                </c:pt>
              </c:numCache>
            </c:numRef>
          </c:yVal>
          <c:smooth val="0"/>
        </c:ser>
        <c:ser>
          <c:idx val="3"/>
          <c:order val="3"/>
          <c:spPr>
            <a:ln w="19050" cap="rnd">
              <a:noFill/>
              <a:round/>
            </a:ln>
            <a:effectLst/>
          </c:spPr>
          <c:marker>
            <c:symbol val="circle"/>
            <c:size val="5"/>
            <c:spPr>
              <a:solidFill>
                <a:schemeClr val="accent4"/>
              </a:solidFill>
              <a:ln w="9525">
                <a:solidFill>
                  <a:schemeClr val="accent4"/>
                </a:solidFill>
              </a:ln>
              <a:effectLst/>
            </c:spPr>
          </c:marker>
          <c:dLbls>
            <c:delete val="1"/>
          </c:dLbls>
          <c:trendline>
            <c:spPr>
              <a:ln w="19050" cap="rnd">
                <a:solidFill>
                  <a:schemeClr val="accent4"/>
                </a:solidFill>
                <a:prstDash val="sysDot"/>
              </a:ln>
              <a:effectLst/>
            </c:spPr>
            <c:trendlineType val="linear"/>
            <c:dispRSqr val="1"/>
            <c:dispEq val="1"/>
            <c:trendlineLbl>
              <c:layout>
                <c:manualLayout>
                  <c:x val="-0.314186239681909"/>
                  <c:y val="0.327404336291173"/>
                </c:manualLayout>
              </c:layout>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trendlineLbl>
          </c:trendline>
          <c:xVal>
            <c:numRef>
              <c:f>'[大米直链淀粉方法数据(3).xls]外部验证'!$J$2:$J$7</c:f>
              <c:numCache>
                <c:formatCode>General</c:formatCode>
                <c:ptCount val="6"/>
                <c:pt idx="1" c:formatCode="0.0_ ">
                  <c:v>27</c:v>
                </c:pt>
                <c:pt idx="2" c:formatCode="0.0_ ">
                  <c:v>3.4</c:v>
                </c:pt>
                <c:pt idx="3" c:formatCode="0.0_ ">
                  <c:v>16.9</c:v>
                </c:pt>
                <c:pt idx="4" c:formatCode="0.0_ ">
                  <c:v>24.8</c:v>
                </c:pt>
                <c:pt idx="5" c:formatCode="0.0_ ">
                  <c:v>18.2</c:v>
                </c:pt>
              </c:numCache>
            </c:numRef>
          </c:xVal>
          <c:yVal>
            <c:numRef>
              <c:f>'[大米直链淀粉方法数据(3).xls]外部验证'!$R$2:$R$7</c:f>
              <c:numCache>
                <c:formatCode>General</c:formatCode>
                <c:ptCount val="6"/>
                <c:pt idx="0">
                  <c:v>0</c:v>
                </c:pt>
                <c:pt idx="1" c:formatCode="0.0_ ">
                  <c:v>27.01</c:v>
                </c:pt>
                <c:pt idx="2">
                  <c:v>3.77</c:v>
                </c:pt>
                <c:pt idx="3" c:formatCode="0.0_ ">
                  <c:v>17.08</c:v>
                </c:pt>
                <c:pt idx="4" c:formatCode="0.0_ ">
                  <c:v>24.08</c:v>
                </c:pt>
                <c:pt idx="5" c:formatCode="0.0_ ">
                  <c:v>18.31</c:v>
                </c:pt>
              </c:numCache>
            </c:numRef>
          </c:yVal>
          <c:smooth val="0"/>
        </c:ser>
        <c:dLbls>
          <c:showLegendKey val="0"/>
          <c:showVal val="0"/>
          <c:showCatName val="0"/>
          <c:showSerName val="0"/>
          <c:showPercent val="0"/>
          <c:showBubbleSize val="0"/>
        </c:dLbls>
        <c:axId val="905014081"/>
        <c:axId val="349455540"/>
      </c:scatterChart>
      <c:valAx>
        <c:axId val="905014081"/>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标准化学值</a:t>
                </a:r>
                <a:r>
                  <a:rPr lang="en-US" altLang="zh-CN"/>
                  <a:t>/%</a:t>
                </a:r>
                <a:endParaRPr lang="en-US" altLang="zh-CN"/>
              </a:p>
            </c:rich>
          </c:tx>
          <c:layout>
            <c:manualLayout>
              <c:xMode val="edge"/>
              <c:yMode val="edge"/>
              <c:x val="0.402099572542117"/>
              <c:y val="0.88110599078341"/>
            </c:manualLayout>
          </c:layout>
          <c:overlay val="0"/>
          <c:spPr>
            <a:noFill/>
            <a:ln>
              <a:noFill/>
            </a:ln>
            <a:effectLst/>
          </c:spPr>
        </c:title>
        <c:numFmt formatCode="General" sourceLinked="1"/>
        <c:majorTickMark val="in"/>
        <c:minorTickMark val="in"/>
        <c:tickLblPos val="nextTo"/>
        <c:spPr>
          <a:noFill/>
          <a:ln w="9525" cap="flat" cmpd="sng" algn="ctr">
            <a:solidFill>
              <a:srgbClr val="000000"/>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9455540"/>
        <c:crosses val="autoZero"/>
        <c:crossBetween val="midCat"/>
        <c:majorUnit val="2"/>
      </c:valAx>
      <c:valAx>
        <c:axId val="349455540"/>
        <c:scaling>
          <c:orientation val="minMax"/>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预测值</a:t>
                </a:r>
                <a:r>
                  <a:rPr lang="en-US" altLang="zh-CN"/>
                  <a:t>/%</a:t>
                </a:r>
                <a:endParaRPr lang="en-US" altLang="zh-CN"/>
              </a:p>
            </c:rich>
          </c:tx>
          <c:layout/>
          <c:overlay val="0"/>
          <c:spPr>
            <a:noFill/>
            <a:ln>
              <a:noFill/>
            </a:ln>
            <a:effectLst/>
          </c:spPr>
        </c:title>
        <c:numFmt formatCode="0.0_ " sourceLinked="1"/>
        <c:majorTickMark val="in"/>
        <c:minorTickMark val="in"/>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05014081"/>
        <c:crosses val="autoZero"/>
        <c:crossBetween val="midCat"/>
        <c:majorUnit val="2"/>
      </c:valAx>
      <c:spPr>
        <a:noFill/>
        <a:ln w="9525" cap="flat" cmpd="sng" algn="ctr">
          <a:noFill/>
          <a:round/>
        </a:ln>
        <a:effectLst/>
      </c:spPr>
    </c:plotArea>
    <c:legend>
      <c:legendPos val="r"/>
      <c:legendEntry>
        <c:idx val="4"/>
        <c:delete val="1"/>
      </c:legendEntry>
      <c:legendEntry>
        <c:idx val="5"/>
        <c:delete val="1"/>
      </c:legendEntry>
      <c:legendEntry>
        <c:idx val="6"/>
        <c:delete val="1"/>
      </c:legendEntry>
      <c:legendEntry>
        <c:idx val="7"/>
        <c:delete val="1"/>
      </c:legendEntry>
      <c:layout>
        <c:manualLayout>
          <c:xMode val="edge"/>
          <c:yMode val="edge"/>
          <c:x val="0.819519752130132"/>
          <c:y val="0.376287530133684"/>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fff71f8-d4b2-407c-9085-6c21f02bfb83}"/>
      </c:ext>
    </c:extLst>
  </c:chart>
  <c:spPr>
    <a:solidFill>
      <a:schemeClr val="bg1"/>
    </a:solidFill>
    <a:ln w="9525" cap="flat" cmpd="sng" algn="ctr">
      <a:no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17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w="19050" cap="rnd">
        <a:noFill/>
        <a:round/>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dk1"/>
    </cs:fontRef>
    <cs:spPr>
      <a:ln w="9525">
        <a:solidFill>
          <a:schemeClr val="phClr"/>
        </a:solidFill>
      </a:ln>
      <a:effectLst/>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spPr>
      <a:ln w="9525" cap="flat" cmpd="sng" algn="ctr">
        <a:solidFill>
          <a:schemeClr val="tx1">
            <a:lumMod val="15000"/>
            <a:lumOff val="85000"/>
          </a:schemeClr>
        </a:solidFill>
        <a:round/>
      </a:ln>
    </cs:spPr>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17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w="19050" cap="rnd">
        <a:noFill/>
        <a:round/>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dk1"/>
    </cs:fontRef>
    <cs:spPr>
      <a:ln w="9525">
        <a:solidFill>
          <a:schemeClr val="phClr"/>
        </a:solidFill>
      </a:ln>
      <a:effectLst/>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spPr>
      <a:ln w="9525" cap="flat" cmpd="sng" algn="ctr">
        <a:solidFill>
          <a:schemeClr val="tx1">
            <a:lumMod val="15000"/>
            <a:lumOff val="85000"/>
          </a:schemeClr>
        </a:solidFill>
        <a:round/>
      </a:ln>
    </cs:spPr>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17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w="19050" cap="rnd">
        <a:noFill/>
        <a:round/>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dk1"/>
    </cs:fontRef>
    <cs:spPr>
      <a:ln w="9525">
        <a:solidFill>
          <a:schemeClr val="phClr"/>
        </a:solidFill>
      </a:ln>
      <a:effectLst/>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spPr>
      <a:ln w="9525" cap="flat" cmpd="sng" algn="ctr">
        <a:solidFill>
          <a:schemeClr val="tx1">
            <a:lumMod val="15000"/>
            <a:lumOff val="85000"/>
          </a:schemeClr>
        </a:solidFill>
        <a:round/>
      </a:ln>
    </cs:spPr>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17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w="19050" cap="rnd">
        <a:noFill/>
        <a:round/>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dk1"/>
    </cs:fontRef>
    <cs:spPr>
      <a:ln w="9525">
        <a:solidFill>
          <a:schemeClr val="phClr"/>
        </a:solidFill>
      </a:ln>
      <a:effectLst/>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spPr>
      <a:ln w="9525" cap="flat" cmpd="sng" algn="ctr">
        <a:solidFill>
          <a:schemeClr val="tx1">
            <a:lumMod val="15000"/>
            <a:lumOff val="85000"/>
          </a:schemeClr>
        </a:solidFill>
        <a:round/>
      </a:ln>
    </cs:spPr>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13165</Words>
  <Characters>15232</Characters>
  <Lines>287</Lines>
  <Paragraphs>80</Paragraphs>
  <TotalTime>2</TotalTime>
  <ScaleCrop>false</ScaleCrop>
  <LinksUpToDate>false</LinksUpToDate>
  <CharactersWithSpaces>15604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2024-03-19T17:25:00Z</dcterms:created>
  <dc:creator>liangmeidan-pc</dc:creator>
  <cp:lastModifiedBy>省食协 孔祥州</cp:lastModifiedBy>
  <cp:lastPrinted>2024-01-05T10:30:00Z</cp:lastPrinted>
  <dcterms:modified xsi:type="dcterms:W3CDTF">2025-10-09T02:44:52Z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9B0BE4F2433C4DA9A88078AB2602426F_13</vt:lpwstr>
  </property>
  <property fmtid="{D5CDD505-2E9C-101B-9397-08002B2CF9AE}" pid="4" name="ribbonExt">
    <vt:lpwstr>{"WPSExtOfficeTab":{"OnGetEnabled":false,"OnGetVisible":false}}</vt:lpwstr>
  </property>
  <property fmtid="{D5CDD505-2E9C-101B-9397-08002B2CF9AE}" pid="5" name="KSOTemplateDocerSaveRecord">
    <vt:lpwstr>eyJoZGlkIjoiMjkwYjhkMmE0MThiNDNlYzhkNjc4MDY1Mjk1MGFjNmEiLCJ1c2VySWQiOiIxMTQwMTI2MDkzIn0=</vt:lpwstr>
  </property>
</Properties>
</file>