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145" w:type="dxa"/>
        <w:tblInd w:w="-513" w:type="dxa"/>
        <w:tblLayout w:type="fixed"/>
        <w:tblCellMar>
          <w:left w:w="0" w:type="dxa"/>
          <w:right w:w="0" w:type="dxa"/>
        </w:tblCellMar>
        <w:tblLook w:val="04A0"/>
      </w:tblPr>
      <w:tblGrid>
        <w:gridCol w:w="1035"/>
        <w:gridCol w:w="5670"/>
        <w:gridCol w:w="1005"/>
        <w:gridCol w:w="975"/>
        <w:gridCol w:w="4305"/>
        <w:gridCol w:w="1155"/>
      </w:tblGrid>
      <w:tr w:rsidR="002704BF">
        <w:trPr>
          <w:trHeight w:val="880"/>
        </w:trPr>
        <w:tc>
          <w:tcPr>
            <w:tcW w:w="14145" w:type="dxa"/>
            <w:gridSpan w:val="6"/>
            <w:tcBorders>
              <w:top w:val="nil"/>
              <w:left w:val="nil"/>
              <w:bottom w:val="nil"/>
              <w:right w:val="nil"/>
            </w:tcBorders>
            <w:shd w:val="clear" w:color="auto" w:fill="auto"/>
            <w:noWrap/>
            <w:tcMar>
              <w:top w:w="15" w:type="dxa"/>
              <w:left w:w="15" w:type="dxa"/>
              <w:right w:w="15" w:type="dxa"/>
            </w:tcMar>
            <w:vAlign w:val="center"/>
          </w:tcPr>
          <w:p w:rsidR="002704BF" w:rsidRDefault="00BC59FA">
            <w:pPr>
              <w:jc w:val="center"/>
              <w:textAlignment w:val="center"/>
              <w:rPr>
                <w:rFonts w:ascii="宋体" w:eastAsia="宋体" w:hAnsi="宋体" w:cs="宋体"/>
                <w:b/>
                <w:bCs/>
                <w:color w:val="000000"/>
                <w:sz w:val="32"/>
                <w:szCs w:val="32"/>
              </w:rPr>
            </w:pPr>
            <w:r>
              <w:rPr>
                <w:rFonts w:ascii="宋体" w:eastAsia="宋体" w:hAnsi="宋体" w:cs="宋体" w:hint="eastAsia"/>
                <w:b/>
                <w:bCs/>
                <w:color w:val="000000"/>
                <w:sz w:val="44"/>
                <w:szCs w:val="44"/>
              </w:rPr>
              <w:t>表</w:t>
            </w:r>
            <w:r>
              <w:rPr>
                <w:rFonts w:ascii="宋体" w:eastAsia="宋体" w:hAnsi="宋体" w:cs="宋体" w:hint="eastAsia"/>
                <w:b/>
                <w:bCs/>
                <w:color w:val="000000"/>
                <w:sz w:val="44"/>
                <w:szCs w:val="44"/>
              </w:rPr>
              <w:t xml:space="preserve">B.1  </w:t>
            </w:r>
            <w:r>
              <w:rPr>
                <w:rFonts w:ascii="宋体" w:eastAsia="宋体" w:hAnsi="宋体" w:cs="宋体" w:hint="eastAsia"/>
                <w:b/>
                <w:bCs/>
                <w:color w:val="000000"/>
                <w:sz w:val="44"/>
                <w:szCs w:val="44"/>
              </w:rPr>
              <w:t>广东省食品行业优秀新产品评价表</w:t>
            </w:r>
          </w:p>
        </w:tc>
      </w:tr>
      <w:tr w:rsidR="002704BF">
        <w:trPr>
          <w:trHeight w:val="620"/>
        </w:trPr>
        <w:tc>
          <w:tcPr>
            <w:tcW w:w="7710" w:type="dxa"/>
            <w:gridSpan w:val="3"/>
            <w:tcBorders>
              <w:top w:val="nil"/>
              <w:left w:val="nil"/>
              <w:bottom w:val="nil"/>
              <w:right w:val="nil"/>
            </w:tcBorders>
            <w:shd w:val="clear" w:color="auto" w:fill="auto"/>
            <w:tcMar>
              <w:top w:w="15" w:type="dxa"/>
              <w:left w:w="15" w:type="dxa"/>
              <w:right w:w="15" w:type="dxa"/>
            </w:tcMar>
            <w:vAlign w:val="center"/>
          </w:tcPr>
          <w:p w:rsidR="002704BF" w:rsidRDefault="00BC59FA">
            <w:pPr>
              <w:jc w:val="both"/>
              <w:textAlignment w:val="center"/>
              <w:rPr>
                <w:rFonts w:ascii="宋体" w:eastAsia="宋体" w:hAnsi="宋体" w:cs="宋体"/>
                <w:b/>
                <w:bCs/>
                <w:color w:val="000000"/>
                <w:sz w:val="22"/>
                <w:szCs w:val="22"/>
              </w:rPr>
            </w:pPr>
            <w:r>
              <w:rPr>
                <w:rFonts w:ascii="宋体" w:eastAsia="宋体" w:hAnsi="宋体" w:cs="宋体" w:hint="eastAsia"/>
                <w:b/>
                <w:bCs/>
                <w:color w:val="000000"/>
                <w:sz w:val="22"/>
                <w:szCs w:val="22"/>
              </w:rPr>
              <w:t>申报单位</w:t>
            </w:r>
            <w:r>
              <w:rPr>
                <w:rFonts w:ascii="宋体" w:eastAsia="宋体" w:hAnsi="宋体" w:cs="宋体" w:hint="eastAsia"/>
                <w:b/>
                <w:bCs/>
                <w:color w:val="000000"/>
                <w:sz w:val="22"/>
                <w:szCs w:val="22"/>
              </w:rPr>
              <w:t>（盖章）</w:t>
            </w:r>
            <w:r>
              <w:rPr>
                <w:rFonts w:ascii="宋体" w:eastAsia="宋体" w:hAnsi="宋体" w:cs="宋体" w:hint="eastAsia"/>
                <w:b/>
                <w:bCs/>
                <w:color w:val="000000"/>
                <w:sz w:val="22"/>
                <w:szCs w:val="22"/>
              </w:rPr>
              <w:t>：</w:t>
            </w:r>
          </w:p>
        </w:tc>
        <w:tc>
          <w:tcPr>
            <w:tcW w:w="6435" w:type="dxa"/>
            <w:gridSpan w:val="3"/>
            <w:tcBorders>
              <w:top w:val="nil"/>
              <w:left w:val="nil"/>
              <w:bottom w:val="nil"/>
              <w:right w:val="nil"/>
            </w:tcBorders>
            <w:shd w:val="clear" w:color="auto" w:fill="auto"/>
            <w:tcMar>
              <w:top w:w="15" w:type="dxa"/>
              <w:left w:w="15" w:type="dxa"/>
              <w:right w:w="15" w:type="dxa"/>
            </w:tcMar>
            <w:vAlign w:val="center"/>
          </w:tcPr>
          <w:p w:rsidR="002704BF" w:rsidRDefault="00BC59FA">
            <w:pPr>
              <w:textAlignment w:val="center"/>
              <w:rPr>
                <w:rFonts w:ascii="宋体" w:eastAsia="宋体" w:hAnsi="宋体" w:cs="宋体"/>
                <w:b/>
                <w:bCs/>
                <w:color w:val="000000"/>
                <w:sz w:val="22"/>
                <w:szCs w:val="22"/>
              </w:rPr>
            </w:pPr>
            <w:r>
              <w:rPr>
                <w:rFonts w:ascii="宋体" w:eastAsia="宋体" w:hAnsi="宋体" w:cs="宋体" w:hint="eastAsia"/>
                <w:b/>
                <w:bCs/>
                <w:color w:val="000000"/>
                <w:sz w:val="22"/>
                <w:szCs w:val="22"/>
              </w:rPr>
              <w:t>申报产品名称</w:t>
            </w:r>
            <w:r>
              <w:rPr>
                <w:rFonts w:ascii="宋体" w:eastAsia="宋体" w:hAnsi="宋体" w:cs="宋体" w:hint="eastAsia"/>
                <w:b/>
                <w:bCs/>
                <w:color w:val="000000"/>
                <w:sz w:val="22"/>
                <w:szCs w:val="22"/>
              </w:rPr>
              <w:t>：</w:t>
            </w:r>
          </w:p>
        </w:tc>
      </w:tr>
      <w:tr w:rsidR="002704BF">
        <w:trPr>
          <w:trHeight w:val="740"/>
        </w:trPr>
        <w:tc>
          <w:tcPr>
            <w:tcW w:w="1035" w:type="dxa"/>
            <w:tcBorders>
              <w:top w:val="single" w:sz="8" w:space="0" w:color="000000"/>
              <w:left w:val="single" w:sz="8" w:space="0" w:color="000000"/>
              <w:bottom w:val="nil"/>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b/>
                <w:bCs/>
                <w:color w:val="000000"/>
                <w:sz w:val="21"/>
                <w:szCs w:val="21"/>
              </w:rPr>
            </w:pPr>
            <w:r>
              <w:rPr>
                <w:rFonts w:ascii="宋体" w:eastAsia="宋体" w:hAnsi="宋体" w:cs="宋体" w:hint="eastAsia"/>
                <w:b/>
                <w:bCs/>
                <w:color w:val="000000"/>
                <w:sz w:val="21"/>
                <w:szCs w:val="21"/>
              </w:rPr>
              <w:t>评价指标（分值）</w:t>
            </w:r>
          </w:p>
        </w:tc>
        <w:tc>
          <w:tcPr>
            <w:tcW w:w="567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b/>
                <w:bCs/>
                <w:color w:val="000000"/>
                <w:sz w:val="21"/>
                <w:szCs w:val="21"/>
              </w:rPr>
            </w:pPr>
            <w:r>
              <w:rPr>
                <w:rFonts w:ascii="宋体" w:eastAsia="宋体" w:hAnsi="宋体" w:cs="宋体" w:hint="eastAsia"/>
                <w:b/>
                <w:bCs/>
                <w:color w:val="000000"/>
                <w:sz w:val="21"/>
                <w:szCs w:val="21"/>
              </w:rPr>
              <w:t>评分标准（总分</w:t>
            </w:r>
            <w:r>
              <w:rPr>
                <w:rFonts w:ascii="宋体" w:eastAsia="宋体" w:hAnsi="宋体" w:cs="宋体" w:hint="eastAsia"/>
                <w:b/>
                <w:bCs/>
                <w:color w:val="000000"/>
                <w:sz w:val="21"/>
                <w:szCs w:val="21"/>
              </w:rPr>
              <w:t>100</w:t>
            </w:r>
            <w:r>
              <w:rPr>
                <w:rFonts w:ascii="宋体" w:eastAsia="宋体" w:hAnsi="宋体" w:cs="宋体" w:hint="eastAsia"/>
                <w:b/>
                <w:bCs/>
                <w:color w:val="000000"/>
                <w:sz w:val="21"/>
                <w:szCs w:val="21"/>
              </w:rPr>
              <w:t>分）</w:t>
            </w:r>
          </w:p>
        </w:tc>
        <w:tc>
          <w:tcPr>
            <w:tcW w:w="1005" w:type="dxa"/>
            <w:tcBorders>
              <w:top w:val="single" w:sz="8" w:space="0" w:color="000000"/>
              <w:left w:val="nil"/>
              <w:bottom w:val="nil"/>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b/>
                <w:bCs/>
                <w:color w:val="000000"/>
                <w:sz w:val="21"/>
                <w:szCs w:val="21"/>
              </w:rPr>
            </w:pPr>
            <w:r>
              <w:rPr>
                <w:rFonts w:ascii="宋体" w:eastAsia="宋体" w:hAnsi="宋体" w:cs="宋体" w:hint="eastAsia"/>
                <w:b/>
                <w:bCs/>
                <w:color w:val="000000"/>
                <w:sz w:val="21"/>
                <w:szCs w:val="21"/>
              </w:rPr>
              <w:t>评分区间</w:t>
            </w:r>
          </w:p>
        </w:tc>
        <w:tc>
          <w:tcPr>
            <w:tcW w:w="97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b/>
                <w:bCs/>
                <w:color w:val="000000"/>
                <w:sz w:val="21"/>
                <w:szCs w:val="21"/>
              </w:rPr>
            </w:pPr>
            <w:r>
              <w:rPr>
                <w:rFonts w:ascii="宋体" w:eastAsia="宋体" w:hAnsi="宋体" w:cs="宋体" w:hint="eastAsia"/>
                <w:b/>
                <w:bCs/>
                <w:color w:val="000000"/>
                <w:sz w:val="21"/>
                <w:szCs w:val="21"/>
              </w:rPr>
              <w:t>自评分</w:t>
            </w:r>
          </w:p>
        </w:tc>
        <w:tc>
          <w:tcPr>
            <w:tcW w:w="4305" w:type="dxa"/>
            <w:tcBorders>
              <w:top w:val="single" w:sz="8" w:space="0" w:color="000000"/>
              <w:left w:val="nil"/>
              <w:bottom w:val="nil"/>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b/>
                <w:bCs/>
                <w:color w:val="000000"/>
                <w:sz w:val="21"/>
                <w:szCs w:val="21"/>
              </w:rPr>
            </w:pPr>
            <w:r>
              <w:rPr>
                <w:rFonts w:ascii="宋体" w:eastAsia="宋体" w:hAnsi="宋体" w:cs="宋体" w:hint="eastAsia"/>
                <w:b/>
                <w:bCs/>
                <w:color w:val="000000"/>
                <w:sz w:val="21"/>
                <w:szCs w:val="21"/>
              </w:rPr>
              <w:t>自评说明</w:t>
            </w:r>
          </w:p>
        </w:tc>
        <w:tc>
          <w:tcPr>
            <w:tcW w:w="115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b/>
                <w:bCs/>
                <w:color w:val="000000"/>
                <w:sz w:val="21"/>
                <w:szCs w:val="21"/>
              </w:rPr>
            </w:pPr>
            <w:r>
              <w:rPr>
                <w:rFonts w:ascii="宋体" w:eastAsia="宋体" w:hAnsi="宋体" w:cs="宋体" w:hint="eastAsia"/>
                <w:b/>
                <w:bCs/>
                <w:color w:val="000000"/>
                <w:sz w:val="21"/>
                <w:szCs w:val="21"/>
              </w:rPr>
              <w:t>专家评分</w:t>
            </w:r>
          </w:p>
        </w:tc>
      </w:tr>
      <w:tr w:rsidR="002704BF">
        <w:trPr>
          <w:trHeight w:val="2320"/>
        </w:trPr>
        <w:tc>
          <w:tcPr>
            <w:tcW w:w="1035"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创新性</w:t>
            </w:r>
          </w:p>
          <w:p w:rsidR="002704BF" w:rsidRDefault="00BC59FA">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w:t>
            </w:r>
            <w:r>
              <w:rPr>
                <w:rFonts w:ascii="宋体" w:eastAsia="宋体" w:hAnsi="宋体" w:cs="宋体" w:hint="eastAsia"/>
                <w:color w:val="000000"/>
                <w:sz w:val="21"/>
                <w:szCs w:val="21"/>
              </w:rPr>
              <w:t>40</w:t>
            </w:r>
            <w:r>
              <w:rPr>
                <w:rFonts w:ascii="宋体" w:eastAsia="宋体" w:hAnsi="宋体" w:cs="宋体" w:hint="eastAsia"/>
                <w:color w:val="000000"/>
                <w:sz w:val="21"/>
                <w:szCs w:val="21"/>
              </w:rPr>
              <w:t>分）</w:t>
            </w:r>
          </w:p>
        </w:tc>
        <w:tc>
          <w:tcPr>
            <w:tcW w:w="567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jc w:val="both"/>
              <w:textAlignment w:val="center"/>
              <w:rPr>
                <w:rFonts w:ascii="宋体" w:eastAsia="宋体" w:hAnsi="宋体" w:cs="宋体"/>
                <w:color w:val="000000"/>
                <w:sz w:val="21"/>
                <w:szCs w:val="21"/>
              </w:rPr>
            </w:pPr>
            <w:r>
              <w:rPr>
                <w:rFonts w:ascii="宋体" w:eastAsia="宋体" w:hAnsi="宋体" w:cs="宋体" w:hint="eastAsia"/>
                <w:color w:val="000000"/>
                <w:sz w:val="21"/>
                <w:szCs w:val="21"/>
              </w:rPr>
              <w:t>在同行业中，或与同类产品相比（参照附录</w:t>
            </w:r>
            <w:r>
              <w:rPr>
                <w:rFonts w:ascii="宋体" w:eastAsia="宋体" w:hAnsi="宋体" w:cs="宋体" w:hint="eastAsia"/>
                <w:color w:val="000000"/>
                <w:sz w:val="21"/>
                <w:szCs w:val="21"/>
              </w:rPr>
              <w:t>A</w:t>
            </w:r>
            <w:r>
              <w:rPr>
                <w:rFonts w:ascii="宋体" w:eastAsia="宋体" w:hAnsi="宋体" w:cs="宋体" w:hint="eastAsia"/>
                <w:color w:val="000000"/>
                <w:sz w:val="21"/>
                <w:szCs w:val="21"/>
              </w:rPr>
              <w:t>创新要点进行评价）：</w:t>
            </w:r>
            <w:r>
              <w:rPr>
                <w:rFonts w:ascii="宋体" w:eastAsia="宋体" w:hAnsi="宋体" w:cs="宋体" w:hint="eastAsia"/>
                <w:color w:val="000000"/>
                <w:sz w:val="21"/>
                <w:szCs w:val="21"/>
              </w:rPr>
              <w:br/>
              <w:t>1.</w:t>
            </w:r>
            <w:r>
              <w:rPr>
                <w:rFonts w:ascii="宋体" w:eastAsia="宋体" w:hAnsi="宋体" w:cs="宋体" w:hint="eastAsia"/>
                <w:color w:val="000000"/>
                <w:sz w:val="21"/>
                <w:szCs w:val="21"/>
              </w:rPr>
              <w:t>该产品研发难度大，技术复杂，具有独创性或显著创新性，填补市场空白，促进消费升级（</w:t>
            </w:r>
            <w:r>
              <w:rPr>
                <w:rFonts w:ascii="宋体" w:eastAsia="宋体" w:hAnsi="宋体" w:cs="宋体" w:hint="eastAsia"/>
                <w:color w:val="000000"/>
                <w:sz w:val="21"/>
                <w:szCs w:val="21"/>
              </w:rPr>
              <w:t>21-25</w:t>
            </w:r>
            <w:r>
              <w:rPr>
                <w:rFonts w:ascii="宋体" w:eastAsia="宋体" w:hAnsi="宋体" w:cs="宋体" w:hint="eastAsia"/>
                <w:color w:val="000000"/>
                <w:sz w:val="21"/>
                <w:szCs w:val="21"/>
              </w:rPr>
              <w:t>分）；</w:t>
            </w:r>
            <w:r>
              <w:rPr>
                <w:rFonts w:ascii="宋体" w:eastAsia="宋体" w:hAnsi="宋体" w:cs="宋体" w:hint="eastAsia"/>
                <w:color w:val="000000"/>
                <w:sz w:val="21"/>
                <w:szCs w:val="21"/>
              </w:rPr>
              <w:br/>
              <w:t>2.</w:t>
            </w:r>
            <w:r>
              <w:rPr>
                <w:rFonts w:ascii="宋体" w:eastAsia="宋体" w:hAnsi="宋体" w:cs="宋体" w:hint="eastAsia"/>
                <w:color w:val="000000"/>
                <w:sz w:val="21"/>
                <w:szCs w:val="21"/>
              </w:rPr>
              <w:t>该产品难度较大，技术较复杂，具有较明显的创新性。（</w:t>
            </w:r>
            <w:r>
              <w:rPr>
                <w:rFonts w:ascii="宋体" w:eastAsia="宋体" w:hAnsi="宋体" w:cs="宋体" w:hint="eastAsia"/>
                <w:color w:val="000000"/>
                <w:sz w:val="21"/>
                <w:szCs w:val="21"/>
              </w:rPr>
              <w:t>15-20</w:t>
            </w:r>
            <w:r>
              <w:rPr>
                <w:rFonts w:ascii="宋体" w:eastAsia="宋体" w:hAnsi="宋体" w:cs="宋体" w:hint="eastAsia"/>
                <w:color w:val="000000"/>
                <w:sz w:val="21"/>
                <w:szCs w:val="21"/>
              </w:rPr>
              <w:t>分）；</w:t>
            </w:r>
            <w:r>
              <w:rPr>
                <w:rFonts w:ascii="宋体" w:eastAsia="宋体" w:hAnsi="宋体" w:cs="宋体" w:hint="eastAsia"/>
                <w:color w:val="000000"/>
                <w:sz w:val="21"/>
                <w:szCs w:val="21"/>
              </w:rPr>
              <w:br/>
              <w:t>3.</w:t>
            </w:r>
            <w:r>
              <w:rPr>
                <w:rFonts w:ascii="宋体" w:eastAsia="宋体" w:hAnsi="宋体" w:cs="宋体" w:hint="eastAsia"/>
                <w:color w:val="000000"/>
                <w:sz w:val="21"/>
                <w:szCs w:val="21"/>
              </w:rPr>
              <w:t>该产品创新性一般，优化和改进程度不大。（</w:t>
            </w:r>
            <w:r>
              <w:rPr>
                <w:rFonts w:ascii="宋体" w:eastAsia="宋体" w:hAnsi="宋体" w:cs="宋体" w:hint="eastAsia"/>
                <w:color w:val="000000"/>
                <w:sz w:val="21"/>
                <w:szCs w:val="21"/>
              </w:rPr>
              <w:t>6-14</w:t>
            </w:r>
            <w:r>
              <w:rPr>
                <w:rFonts w:ascii="宋体" w:eastAsia="宋体" w:hAnsi="宋体" w:cs="宋体" w:hint="eastAsia"/>
                <w:color w:val="000000"/>
                <w:sz w:val="21"/>
                <w:szCs w:val="21"/>
              </w:rPr>
              <w:t>分）。</w:t>
            </w:r>
          </w:p>
        </w:tc>
        <w:tc>
          <w:tcPr>
            <w:tcW w:w="100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6-25</w:t>
            </w:r>
          </w:p>
        </w:tc>
        <w:tc>
          <w:tcPr>
            <w:tcW w:w="97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c>
          <w:tcPr>
            <w:tcW w:w="430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c>
          <w:tcPr>
            <w:tcW w:w="115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r>
      <w:tr w:rsidR="002704BF">
        <w:trPr>
          <w:trHeight w:val="3460"/>
        </w:trPr>
        <w:tc>
          <w:tcPr>
            <w:tcW w:w="1035"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704BF" w:rsidRDefault="002704BF">
            <w:pPr>
              <w:jc w:val="center"/>
              <w:rPr>
                <w:rFonts w:ascii="宋体" w:eastAsia="宋体" w:hAnsi="宋体" w:cs="宋体"/>
                <w:color w:val="000000"/>
                <w:sz w:val="21"/>
                <w:szCs w:val="21"/>
              </w:rPr>
            </w:pPr>
          </w:p>
        </w:tc>
        <w:tc>
          <w:tcPr>
            <w:tcW w:w="567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技术水平高，实用效果优良，取得了相关科技创新成果：</w:t>
            </w:r>
            <w:r>
              <w:rPr>
                <w:rFonts w:ascii="宋体" w:eastAsia="宋体" w:hAnsi="宋体" w:cs="宋体" w:hint="eastAsia"/>
                <w:color w:val="000000"/>
                <w:sz w:val="21"/>
                <w:szCs w:val="21"/>
              </w:rPr>
              <w:br/>
              <w:t>1.</w:t>
            </w:r>
            <w:r>
              <w:rPr>
                <w:rFonts w:ascii="宋体" w:eastAsia="宋体" w:hAnsi="宋体" w:cs="宋体" w:hint="eastAsia"/>
                <w:color w:val="000000"/>
                <w:sz w:val="21"/>
                <w:szCs w:val="21"/>
              </w:rPr>
              <w:t>取得与该产品相关性强的发明专利（根据专利技术水平，国内专利酌情评</w:t>
            </w:r>
            <w:r>
              <w:rPr>
                <w:rFonts w:ascii="宋体" w:eastAsia="宋体" w:hAnsi="宋体" w:cs="宋体" w:hint="eastAsia"/>
                <w:color w:val="000000"/>
                <w:sz w:val="21"/>
                <w:szCs w:val="21"/>
              </w:rPr>
              <w:t>6-8</w:t>
            </w:r>
            <w:r>
              <w:rPr>
                <w:rFonts w:ascii="宋体" w:eastAsia="宋体" w:hAnsi="宋体" w:cs="宋体" w:hint="eastAsia"/>
                <w:color w:val="000000"/>
                <w:sz w:val="21"/>
                <w:szCs w:val="21"/>
              </w:rPr>
              <w:t>分</w:t>
            </w:r>
            <w:r>
              <w:rPr>
                <w:rFonts w:ascii="宋体" w:eastAsia="宋体" w:hAnsi="宋体" w:cs="宋体" w:hint="eastAsia"/>
                <w:color w:val="000000"/>
                <w:sz w:val="21"/>
                <w:szCs w:val="21"/>
              </w:rPr>
              <w:t>/</w:t>
            </w:r>
            <w:r>
              <w:rPr>
                <w:rFonts w:ascii="宋体" w:eastAsia="宋体" w:hAnsi="宋体" w:cs="宋体" w:hint="eastAsia"/>
                <w:color w:val="000000"/>
                <w:sz w:val="21"/>
                <w:szCs w:val="21"/>
              </w:rPr>
              <w:t>件，国际专利</w:t>
            </w:r>
            <w:r>
              <w:rPr>
                <w:rFonts w:ascii="宋体" w:eastAsia="宋体" w:hAnsi="宋体" w:cs="宋体" w:hint="eastAsia"/>
                <w:color w:val="000000"/>
                <w:sz w:val="21"/>
                <w:szCs w:val="21"/>
              </w:rPr>
              <w:t>8-10</w:t>
            </w:r>
            <w:r>
              <w:rPr>
                <w:rFonts w:ascii="宋体" w:eastAsia="宋体" w:hAnsi="宋体" w:cs="宋体" w:hint="eastAsia"/>
                <w:color w:val="000000"/>
                <w:sz w:val="21"/>
                <w:szCs w:val="21"/>
              </w:rPr>
              <w:t>分</w:t>
            </w:r>
            <w:r>
              <w:rPr>
                <w:rFonts w:ascii="宋体" w:eastAsia="宋体" w:hAnsi="宋体" w:cs="宋体" w:hint="eastAsia"/>
                <w:color w:val="000000"/>
                <w:sz w:val="21"/>
                <w:szCs w:val="21"/>
              </w:rPr>
              <w:t>/</w:t>
            </w:r>
            <w:r>
              <w:rPr>
                <w:rFonts w:ascii="宋体" w:eastAsia="宋体" w:hAnsi="宋体" w:cs="宋体" w:hint="eastAsia"/>
                <w:color w:val="000000"/>
                <w:sz w:val="21"/>
                <w:szCs w:val="21"/>
              </w:rPr>
              <w:t>件）、实用新型专利（</w:t>
            </w:r>
            <w:r>
              <w:rPr>
                <w:rFonts w:ascii="宋体" w:eastAsia="宋体" w:hAnsi="宋体" w:cs="宋体" w:hint="eastAsia"/>
                <w:color w:val="000000"/>
                <w:sz w:val="21"/>
                <w:szCs w:val="21"/>
              </w:rPr>
              <w:t>4-6</w:t>
            </w:r>
            <w:r>
              <w:rPr>
                <w:rFonts w:ascii="宋体" w:eastAsia="宋体" w:hAnsi="宋体" w:cs="宋体" w:hint="eastAsia"/>
                <w:color w:val="000000"/>
                <w:sz w:val="21"/>
                <w:szCs w:val="21"/>
              </w:rPr>
              <w:t>分</w:t>
            </w:r>
            <w:r>
              <w:rPr>
                <w:rFonts w:ascii="宋体" w:eastAsia="宋体" w:hAnsi="宋体" w:cs="宋体" w:hint="eastAsia"/>
                <w:color w:val="000000"/>
                <w:sz w:val="21"/>
                <w:szCs w:val="21"/>
              </w:rPr>
              <w:t>/</w:t>
            </w:r>
            <w:r>
              <w:rPr>
                <w:rFonts w:ascii="宋体" w:eastAsia="宋体" w:hAnsi="宋体" w:cs="宋体" w:hint="eastAsia"/>
                <w:color w:val="000000"/>
                <w:sz w:val="21"/>
                <w:szCs w:val="21"/>
              </w:rPr>
              <w:t>件）、外观设计专利（</w:t>
            </w:r>
            <w:r>
              <w:rPr>
                <w:rFonts w:ascii="宋体" w:eastAsia="宋体" w:hAnsi="宋体" w:cs="宋体" w:hint="eastAsia"/>
                <w:color w:val="000000"/>
                <w:sz w:val="21"/>
                <w:szCs w:val="21"/>
              </w:rPr>
              <w:t>2-4</w:t>
            </w:r>
            <w:r>
              <w:rPr>
                <w:rFonts w:ascii="宋体" w:eastAsia="宋体" w:hAnsi="宋体" w:cs="宋体" w:hint="eastAsia"/>
                <w:color w:val="000000"/>
                <w:sz w:val="21"/>
                <w:szCs w:val="21"/>
              </w:rPr>
              <w:t>分</w:t>
            </w:r>
            <w:r>
              <w:rPr>
                <w:rFonts w:ascii="宋体" w:eastAsia="宋体" w:hAnsi="宋体" w:cs="宋体" w:hint="eastAsia"/>
                <w:color w:val="000000"/>
                <w:sz w:val="21"/>
                <w:szCs w:val="21"/>
              </w:rPr>
              <w:t>/</w:t>
            </w:r>
            <w:r>
              <w:rPr>
                <w:rFonts w:ascii="宋体" w:eastAsia="宋体" w:hAnsi="宋体" w:cs="宋体" w:hint="eastAsia"/>
                <w:color w:val="000000"/>
                <w:sz w:val="21"/>
                <w:szCs w:val="21"/>
              </w:rPr>
              <w:t>件）；</w:t>
            </w:r>
            <w:r>
              <w:rPr>
                <w:rFonts w:ascii="宋体" w:eastAsia="宋体" w:hAnsi="宋体" w:cs="宋体" w:hint="eastAsia"/>
                <w:color w:val="000000"/>
                <w:sz w:val="21"/>
                <w:szCs w:val="21"/>
              </w:rPr>
              <w:br/>
              <w:t>2.</w:t>
            </w:r>
            <w:r>
              <w:rPr>
                <w:rFonts w:ascii="宋体" w:eastAsia="宋体" w:hAnsi="宋体" w:cs="宋体" w:hint="eastAsia"/>
                <w:color w:val="000000"/>
                <w:sz w:val="21"/>
                <w:szCs w:val="21"/>
              </w:rPr>
              <w:t>经过地市级以上部门或省级以上行业组织科技成果评价，相关技术达到国内领先水平及以上（</w:t>
            </w:r>
            <w:r>
              <w:rPr>
                <w:rFonts w:ascii="宋体" w:eastAsia="宋体" w:hAnsi="宋体" w:cs="宋体" w:hint="eastAsia"/>
                <w:color w:val="000000"/>
                <w:sz w:val="21"/>
                <w:szCs w:val="21"/>
              </w:rPr>
              <w:t>15</w:t>
            </w:r>
            <w:r>
              <w:rPr>
                <w:rFonts w:ascii="宋体" w:eastAsia="宋体" w:hAnsi="宋体" w:cs="宋体" w:hint="eastAsia"/>
                <w:color w:val="000000"/>
                <w:sz w:val="21"/>
                <w:szCs w:val="21"/>
              </w:rPr>
              <w:t>分</w:t>
            </w:r>
            <w:r>
              <w:rPr>
                <w:rFonts w:ascii="宋体" w:eastAsia="宋体" w:hAnsi="宋体" w:cs="宋体" w:hint="eastAsia"/>
                <w:color w:val="000000"/>
                <w:sz w:val="21"/>
                <w:szCs w:val="21"/>
              </w:rPr>
              <w:t>/</w:t>
            </w:r>
            <w:r>
              <w:rPr>
                <w:rFonts w:ascii="宋体" w:eastAsia="宋体" w:hAnsi="宋体" w:cs="宋体" w:hint="eastAsia"/>
                <w:color w:val="000000"/>
                <w:sz w:val="21"/>
                <w:szCs w:val="21"/>
              </w:rPr>
              <w:t>项），或国内先进水平（</w:t>
            </w:r>
            <w:r>
              <w:rPr>
                <w:rFonts w:ascii="宋体" w:eastAsia="宋体" w:hAnsi="宋体" w:cs="宋体" w:hint="eastAsia"/>
                <w:color w:val="000000"/>
                <w:sz w:val="21"/>
                <w:szCs w:val="21"/>
              </w:rPr>
              <w:t>10</w:t>
            </w:r>
            <w:r>
              <w:rPr>
                <w:rFonts w:ascii="宋体" w:eastAsia="宋体" w:hAnsi="宋体" w:cs="宋体" w:hint="eastAsia"/>
                <w:color w:val="000000"/>
                <w:sz w:val="21"/>
                <w:szCs w:val="21"/>
              </w:rPr>
              <w:t>分</w:t>
            </w:r>
            <w:r>
              <w:rPr>
                <w:rFonts w:ascii="宋体" w:eastAsia="宋体" w:hAnsi="宋体" w:cs="宋体" w:hint="eastAsia"/>
                <w:color w:val="000000"/>
                <w:sz w:val="21"/>
                <w:szCs w:val="21"/>
              </w:rPr>
              <w:t>/</w:t>
            </w:r>
            <w:r>
              <w:rPr>
                <w:rFonts w:ascii="宋体" w:eastAsia="宋体" w:hAnsi="宋体" w:cs="宋体" w:hint="eastAsia"/>
                <w:color w:val="000000"/>
                <w:sz w:val="21"/>
                <w:szCs w:val="21"/>
              </w:rPr>
              <w:t>项）；或通过项目验收（</w:t>
            </w:r>
            <w:r>
              <w:rPr>
                <w:rFonts w:ascii="宋体" w:eastAsia="宋体" w:hAnsi="宋体" w:cs="宋体" w:hint="eastAsia"/>
                <w:color w:val="000000"/>
                <w:sz w:val="21"/>
                <w:szCs w:val="21"/>
              </w:rPr>
              <w:t>8</w:t>
            </w:r>
            <w:r>
              <w:rPr>
                <w:rFonts w:ascii="宋体" w:eastAsia="宋体" w:hAnsi="宋体" w:cs="宋体" w:hint="eastAsia"/>
                <w:color w:val="000000"/>
                <w:sz w:val="21"/>
                <w:szCs w:val="21"/>
              </w:rPr>
              <w:t>分</w:t>
            </w:r>
            <w:r>
              <w:rPr>
                <w:rFonts w:ascii="宋体" w:eastAsia="宋体" w:hAnsi="宋体" w:cs="宋体" w:hint="eastAsia"/>
                <w:color w:val="000000"/>
                <w:sz w:val="21"/>
                <w:szCs w:val="21"/>
              </w:rPr>
              <w:t>/</w:t>
            </w:r>
            <w:r>
              <w:rPr>
                <w:rFonts w:ascii="宋体" w:eastAsia="宋体" w:hAnsi="宋体" w:cs="宋体" w:hint="eastAsia"/>
                <w:color w:val="000000"/>
                <w:sz w:val="21"/>
                <w:szCs w:val="21"/>
              </w:rPr>
              <w:t>项）；</w:t>
            </w:r>
            <w:r>
              <w:rPr>
                <w:rFonts w:ascii="宋体" w:eastAsia="宋体" w:hAnsi="宋体" w:cs="宋体" w:hint="eastAsia"/>
                <w:color w:val="000000"/>
                <w:sz w:val="21"/>
                <w:szCs w:val="21"/>
              </w:rPr>
              <w:br/>
              <w:t>3.</w:t>
            </w:r>
            <w:r>
              <w:rPr>
                <w:rFonts w:ascii="宋体" w:eastAsia="宋体" w:hAnsi="宋体" w:cs="宋体" w:hint="eastAsia"/>
                <w:color w:val="000000"/>
                <w:sz w:val="21"/>
                <w:szCs w:val="21"/>
              </w:rPr>
              <w:t>撰写了具有较高水平的技术论文、技术分析报告（</w:t>
            </w:r>
            <w:r>
              <w:rPr>
                <w:rFonts w:ascii="宋体" w:eastAsia="宋体" w:hAnsi="宋体" w:cs="宋体" w:hint="eastAsia"/>
                <w:color w:val="000000"/>
                <w:sz w:val="21"/>
                <w:szCs w:val="21"/>
              </w:rPr>
              <w:t>1-3</w:t>
            </w:r>
            <w:r>
              <w:rPr>
                <w:rFonts w:ascii="宋体" w:eastAsia="宋体" w:hAnsi="宋体" w:cs="宋体" w:hint="eastAsia"/>
                <w:color w:val="000000"/>
                <w:sz w:val="21"/>
                <w:szCs w:val="21"/>
              </w:rPr>
              <w:t>分</w:t>
            </w:r>
            <w:r>
              <w:rPr>
                <w:rFonts w:ascii="宋体" w:eastAsia="宋体" w:hAnsi="宋体" w:cs="宋体" w:hint="eastAsia"/>
                <w:color w:val="000000"/>
                <w:sz w:val="21"/>
                <w:szCs w:val="21"/>
              </w:rPr>
              <w:t>/</w:t>
            </w:r>
            <w:r>
              <w:rPr>
                <w:rFonts w:ascii="宋体" w:eastAsia="宋体" w:hAnsi="宋体" w:cs="宋体" w:hint="eastAsia"/>
                <w:color w:val="000000"/>
                <w:sz w:val="21"/>
                <w:szCs w:val="21"/>
              </w:rPr>
              <w:t>篇）。</w:t>
            </w:r>
            <w:r>
              <w:rPr>
                <w:rFonts w:ascii="宋体" w:eastAsia="宋体" w:hAnsi="宋体" w:cs="宋体" w:hint="eastAsia"/>
                <w:color w:val="000000"/>
                <w:sz w:val="21"/>
                <w:szCs w:val="21"/>
              </w:rPr>
              <w:br/>
            </w:r>
            <w:r>
              <w:rPr>
                <w:rFonts w:ascii="宋体" w:eastAsia="宋体" w:hAnsi="宋体" w:cs="宋体" w:hint="eastAsia"/>
                <w:color w:val="000000"/>
                <w:sz w:val="21"/>
                <w:szCs w:val="21"/>
              </w:rPr>
              <w:t>以上各项可累计计分，但不超</w:t>
            </w:r>
            <w:r>
              <w:rPr>
                <w:rFonts w:ascii="宋体" w:eastAsia="宋体" w:hAnsi="宋体" w:cs="宋体" w:hint="eastAsia"/>
                <w:color w:val="000000"/>
                <w:sz w:val="21"/>
                <w:szCs w:val="21"/>
              </w:rPr>
              <w:t>15</w:t>
            </w:r>
            <w:r>
              <w:rPr>
                <w:rFonts w:ascii="宋体" w:eastAsia="宋体" w:hAnsi="宋体" w:cs="宋体" w:hint="eastAsia"/>
                <w:color w:val="000000"/>
                <w:sz w:val="21"/>
                <w:szCs w:val="21"/>
              </w:rPr>
              <w:t>分。</w:t>
            </w:r>
          </w:p>
        </w:tc>
        <w:tc>
          <w:tcPr>
            <w:tcW w:w="100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0-15</w:t>
            </w:r>
          </w:p>
        </w:tc>
        <w:tc>
          <w:tcPr>
            <w:tcW w:w="97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c>
          <w:tcPr>
            <w:tcW w:w="430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c>
          <w:tcPr>
            <w:tcW w:w="115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r>
      <w:tr w:rsidR="002704BF">
        <w:trPr>
          <w:trHeight w:val="2460"/>
        </w:trPr>
        <w:tc>
          <w:tcPr>
            <w:tcW w:w="1035" w:type="dxa"/>
            <w:tcBorders>
              <w:top w:val="nil"/>
              <w:left w:val="single" w:sz="8" w:space="0" w:color="000000"/>
              <w:bottom w:val="nil"/>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质量水平（</w:t>
            </w:r>
            <w:r>
              <w:rPr>
                <w:rFonts w:ascii="宋体" w:eastAsia="宋体" w:hAnsi="宋体" w:cs="宋体" w:hint="eastAsia"/>
                <w:color w:val="000000"/>
                <w:sz w:val="21"/>
                <w:szCs w:val="21"/>
              </w:rPr>
              <w:t>40</w:t>
            </w:r>
            <w:r>
              <w:rPr>
                <w:rFonts w:ascii="宋体" w:eastAsia="宋体" w:hAnsi="宋体" w:cs="宋体" w:hint="eastAsia"/>
                <w:color w:val="000000"/>
                <w:sz w:val="21"/>
                <w:szCs w:val="21"/>
              </w:rPr>
              <w:t>分）</w:t>
            </w:r>
          </w:p>
        </w:tc>
        <w:tc>
          <w:tcPr>
            <w:tcW w:w="5670" w:type="dxa"/>
            <w:tcBorders>
              <w:top w:val="nil"/>
              <w:left w:val="nil"/>
              <w:bottom w:val="nil"/>
              <w:right w:val="single" w:sz="8" w:space="0" w:color="000000"/>
            </w:tcBorders>
            <w:shd w:val="clear" w:color="auto" w:fill="auto"/>
            <w:tcMar>
              <w:top w:w="15" w:type="dxa"/>
              <w:left w:w="15" w:type="dxa"/>
              <w:right w:w="15" w:type="dxa"/>
            </w:tcMar>
            <w:vAlign w:val="center"/>
          </w:tcPr>
          <w:p w:rsidR="002704BF" w:rsidRDefault="00BC59FA">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参照产品执行标准中感官及其他质量特性指标进行评价：</w:t>
            </w:r>
            <w:r>
              <w:rPr>
                <w:rFonts w:ascii="宋体" w:eastAsia="宋体" w:hAnsi="宋体" w:cs="宋体" w:hint="eastAsia"/>
                <w:color w:val="000000"/>
                <w:sz w:val="21"/>
                <w:szCs w:val="21"/>
              </w:rPr>
              <w:br/>
              <w:t>1.</w:t>
            </w:r>
            <w:r>
              <w:rPr>
                <w:rFonts w:ascii="宋体" w:eastAsia="宋体" w:hAnsi="宋体" w:cs="宋体" w:hint="eastAsia"/>
                <w:color w:val="000000"/>
                <w:sz w:val="21"/>
                <w:szCs w:val="21"/>
              </w:rPr>
              <w:t>色香味形或其他质量特性俱佳，与同类产品差异显著；综合感官体验优秀并兼具健康营养，酌情评</w:t>
            </w:r>
            <w:r>
              <w:rPr>
                <w:rFonts w:ascii="宋体" w:eastAsia="宋体" w:hAnsi="宋体" w:cs="宋体" w:hint="eastAsia"/>
                <w:color w:val="000000"/>
                <w:sz w:val="21"/>
                <w:szCs w:val="21"/>
              </w:rPr>
              <w:t>36-40</w:t>
            </w:r>
            <w:r>
              <w:rPr>
                <w:rFonts w:ascii="宋体" w:eastAsia="宋体" w:hAnsi="宋体" w:cs="宋体" w:hint="eastAsia"/>
                <w:color w:val="000000"/>
                <w:sz w:val="21"/>
                <w:szCs w:val="21"/>
              </w:rPr>
              <w:t>分；</w:t>
            </w:r>
            <w:r>
              <w:rPr>
                <w:rFonts w:ascii="宋体" w:eastAsia="宋体" w:hAnsi="宋体" w:cs="宋体" w:hint="eastAsia"/>
                <w:color w:val="000000"/>
                <w:sz w:val="21"/>
                <w:szCs w:val="21"/>
              </w:rPr>
              <w:br/>
              <w:t>2.</w:t>
            </w:r>
            <w:r>
              <w:rPr>
                <w:rFonts w:ascii="宋体" w:eastAsia="宋体" w:hAnsi="宋体" w:cs="宋体" w:hint="eastAsia"/>
                <w:color w:val="000000"/>
                <w:sz w:val="21"/>
                <w:szCs w:val="21"/>
              </w:rPr>
              <w:t>色香味形或其他质量特性较好，与同类产品有一定差异，综合感官体验较好，酌情评</w:t>
            </w:r>
            <w:r>
              <w:rPr>
                <w:rFonts w:ascii="宋体" w:eastAsia="宋体" w:hAnsi="宋体" w:cs="宋体" w:hint="eastAsia"/>
                <w:color w:val="000000"/>
                <w:sz w:val="21"/>
                <w:szCs w:val="21"/>
              </w:rPr>
              <w:t>21-35</w:t>
            </w:r>
            <w:r>
              <w:rPr>
                <w:rFonts w:ascii="宋体" w:eastAsia="宋体" w:hAnsi="宋体" w:cs="宋体" w:hint="eastAsia"/>
                <w:color w:val="000000"/>
                <w:sz w:val="21"/>
                <w:szCs w:val="21"/>
              </w:rPr>
              <w:t>分；</w:t>
            </w:r>
            <w:r>
              <w:rPr>
                <w:rFonts w:ascii="宋体" w:eastAsia="宋体" w:hAnsi="宋体" w:cs="宋体" w:hint="eastAsia"/>
                <w:color w:val="000000"/>
                <w:sz w:val="21"/>
                <w:szCs w:val="21"/>
              </w:rPr>
              <w:br/>
              <w:t>3.</w:t>
            </w:r>
            <w:r>
              <w:rPr>
                <w:rFonts w:ascii="宋体" w:eastAsia="宋体" w:hAnsi="宋体" w:cs="宋体" w:hint="eastAsia"/>
                <w:color w:val="000000"/>
                <w:sz w:val="21"/>
                <w:szCs w:val="21"/>
              </w:rPr>
              <w:t>色香味形或其他质量特性一般，某些方面存在缺陷或不足，酌情评</w:t>
            </w:r>
            <w:r>
              <w:rPr>
                <w:rFonts w:ascii="宋体" w:eastAsia="宋体" w:hAnsi="宋体" w:cs="宋体" w:hint="eastAsia"/>
                <w:color w:val="000000"/>
                <w:sz w:val="21"/>
                <w:szCs w:val="21"/>
              </w:rPr>
              <w:t>10-20</w:t>
            </w:r>
            <w:r>
              <w:rPr>
                <w:rFonts w:ascii="宋体" w:eastAsia="宋体" w:hAnsi="宋体" w:cs="宋体" w:hint="eastAsia"/>
                <w:color w:val="000000"/>
                <w:sz w:val="21"/>
                <w:szCs w:val="21"/>
              </w:rPr>
              <w:t>分。</w:t>
            </w:r>
          </w:p>
        </w:tc>
        <w:tc>
          <w:tcPr>
            <w:tcW w:w="100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10-40</w:t>
            </w:r>
          </w:p>
        </w:tc>
        <w:tc>
          <w:tcPr>
            <w:tcW w:w="975" w:type="dxa"/>
            <w:tcBorders>
              <w:top w:val="nil"/>
              <w:left w:val="nil"/>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c>
          <w:tcPr>
            <w:tcW w:w="4305" w:type="dxa"/>
            <w:tcBorders>
              <w:top w:val="nil"/>
              <w:left w:val="nil"/>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c>
          <w:tcPr>
            <w:tcW w:w="1155" w:type="dxa"/>
            <w:tcBorders>
              <w:top w:val="nil"/>
              <w:left w:val="nil"/>
              <w:bottom w:val="single" w:sz="8" w:space="0" w:color="000000"/>
              <w:right w:val="single" w:sz="8" w:space="0" w:color="000000"/>
            </w:tcBorders>
            <w:shd w:val="clear" w:color="auto" w:fill="auto"/>
            <w:noWrap/>
            <w:tcMar>
              <w:top w:w="15" w:type="dxa"/>
              <w:left w:w="15" w:type="dxa"/>
              <w:right w:w="15" w:type="dxa"/>
            </w:tcMar>
            <w:vAlign w:val="center"/>
          </w:tcPr>
          <w:p w:rsidR="002704BF" w:rsidRDefault="002704BF">
            <w:pPr>
              <w:rPr>
                <w:rFonts w:ascii="宋体" w:eastAsia="宋体" w:hAnsi="宋体" w:cs="宋体"/>
                <w:color w:val="000000"/>
                <w:sz w:val="22"/>
                <w:szCs w:val="22"/>
              </w:rPr>
            </w:pPr>
          </w:p>
        </w:tc>
      </w:tr>
      <w:tr w:rsidR="002704BF">
        <w:trPr>
          <w:trHeight w:val="2240"/>
        </w:trPr>
        <w:tc>
          <w:tcPr>
            <w:tcW w:w="1035" w:type="dxa"/>
            <w:tcBorders>
              <w:top w:val="single" w:sz="8" w:space="0" w:color="000000"/>
              <w:left w:val="single" w:sz="8" w:space="0" w:color="000000"/>
              <w:bottom w:val="nil"/>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市场前景（</w:t>
            </w:r>
            <w:r>
              <w:rPr>
                <w:rFonts w:ascii="宋体" w:eastAsia="宋体" w:hAnsi="宋体" w:cs="宋体" w:hint="eastAsia"/>
                <w:color w:val="000000"/>
                <w:sz w:val="21"/>
                <w:szCs w:val="21"/>
              </w:rPr>
              <w:t>20</w:t>
            </w:r>
            <w:r>
              <w:rPr>
                <w:rFonts w:ascii="宋体" w:eastAsia="宋体" w:hAnsi="宋体" w:cs="宋体" w:hint="eastAsia"/>
                <w:color w:val="000000"/>
                <w:sz w:val="21"/>
                <w:szCs w:val="21"/>
              </w:rPr>
              <w:t>分）</w:t>
            </w:r>
          </w:p>
        </w:tc>
        <w:tc>
          <w:tcPr>
            <w:tcW w:w="5670" w:type="dxa"/>
            <w:tcBorders>
              <w:top w:val="single" w:sz="8" w:space="0" w:color="000000"/>
              <w:left w:val="nil"/>
              <w:bottom w:val="nil"/>
              <w:right w:val="single" w:sz="8" w:space="0" w:color="000000"/>
            </w:tcBorders>
            <w:shd w:val="clear" w:color="auto" w:fill="auto"/>
            <w:tcMar>
              <w:top w:w="15" w:type="dxa"/>
              <w:left w:w="15" w:type="dxa"/>
              <w:right w:w="15" w:type="dxa"/>
            </w:tcMar>
            <w:vAlign w:val="center"/>
          </w:tcPr>
          <w:p w:rsidR="002704BF" w:rsidRDefault="00BC59FA">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参照经济指标及实测的技术经济指标和预测的经济社会效益分析报告进行评价：</w:t>
            </w:r>
            <w:r>
              <w:rPr>
                <w:rFonts w:ascii="宋体" w:eastAsia="宋体" w:hAnsi="宋体" w:cs="宋体" w:hint="eastAsia"/>
                <w:color w:val="000000"/>
                <w:sz w:val="21"/>
                <w:szCs w:val="21"/>
              </w:rPr>
              <w:br/>
            </w:r>
            <w:r>
              <w:rPr>
                <w:rFonts w:ascii="宋体" w:eastAsia="宋体" w:hAnsi="宋体" w:cs="宋体" w:hint="eastAsia"/>
                <w:color w:val="000000"/>
                <w:sz w:val="21"/>
                <w:szCs w:val="21"/>
              </w:rPr>
              <w:t>1.</w:t>
            </w:r>
            <w:r>
              <w:rPr>
                <w:rFonts w:ascii="宋体" w:eastAsia="宋体" w:hAnsi="宋体" w:cs="宋体" w:hint="eastAsia"/>
                <w:color w:val="000000"/>
                <w:sz w:val="21"/>
                <w:szCs w:val="21"/>
              </w:rPr>
              <w:t>上市以来取得很好的经济效益或社会效益，市场前景好，酌情评</w:t>
            </w:r>
            <w:r>
              <w:rPr>
                <w:rFonts w:ascii="宋体" w:eastAsia="宋体" w:hAnsi="宋体" w:cs="宋体" w:hint="eastAsia"/>
                <w:color w:val="000000"/>
                <w:sz w:val="21"/>
                <w:szCs w:val="21"/>
              </w:rPr>
              <w:t>18-20</w:t>
            </w:r>
            <w:r>
              <w:rPr>
                <w:rFonts w:ascii="宋体" w:eastAsia="宋体" w:hAnsi="宋体" w:cs="宋体" w:hint="eastAsia"/>
                <w:color w:val="000000"/>
                <w:sz w:val="21"/>
                <w:szCs w:val="21"/>
              </w:rPr>
              <w:t>分；</w:t>
            </w:r>
            <w:r>
              <w:rPr>
                <w:rFonts w:ascii="宋体" w:eastAsia="宋体" w:hAnsi="宋体" w:cs="宋体" w:hint="eastAsia"/>
                <w:color w:val="000000"/>
                <w:sz w:val="21"/>
                <w:szCs w:val="21"/>
              </w:rPr>
              <w:br/>
              <w:t>2.</w:t>
            </w:r>
            <w:r>
              <w:rPr>
                <w:rFonts w:ascii="宋体" w:eastAsia="宋体" w:hAnsi="宋体" w:cs="宋体" w:hint="eastAsia"/>
                <w:color w:val="000000"/>
                <w:sz w:val="21"/>
                <w:szCs w:val="21"/>
              </w:rPr>
              <w:t>上市以来取得较好的经济效益或社会效益，市场前景较好，酌情评</w:t>
            </w:r>
            <w:r>
              <w:rPr>
                <w:rFonts w:ascii="宋体" w:eastAsia="宋体" w:hAnsi="宋体" w:cs="宋体" w:hint="eastAsia"/>
                <w:color w:val="000000"/>
                <w:sz w:val="21"/>
                <w:szCs w:val="21"/>
              </w:rPr>
              <w:t>14-17</w:t>
            </w:r>
            <w:r>
              <w:rPr>
                <w:rFonts w:ascii="宋体" w:eastAsia="宋体" w:hAnsi="宋体" w:cs="宋体" w:hint="eastAsia"/>
                <w:color w:val="000000"/>
                <w:sz w:val="21"/>
                <w:szCs w:val="21"/>
              </w:rPr>
              <w:t>分；</w:t>
            </w:r>
            <w:r>
              <w:rPr>
                <w:rFonts w:ascii="宋体" w:eastAsia="宋体" w:hAnsi="宋体" w:cs="宋体" w:hint="eastAsia"/>
                <w:color w:val="000000"/>
                <w:sz w:val="21"/>
                <w:szCs w:val="21"/>
              </w:rPr>
              <w:br/>
              <w:t>3.</w:t>
            </w:r>
            <w:r>
              <w:rPr>
                <w:rFonts w:ascii="宋体" w:eastAsia="宋体" w:hAnsi="宋体" w:cs="宋体" w:hint="eastAsia"/>
                <w:color w:val="000000"/>
                <w:sz w:val="21"/>
                <w:szCs w:val="21"/>
              </w:rPr>
              <w:t>上市以来经济效益或社会效益一般，市场前景一般，酌情评</w:t>
            </w:r>
            <w:r>
              <w:rPr>
                <w:rFonts w:ascii="宋体" w:eastAsia="宋体" w:hAnsi="宋体" w:cs="宋体" w:hint="eastAsia"/>
                <w:color w:val="000000"/>
                <w:sz w:val="21"/>
                <w:szCs w:val="21"/>
              </w:rPr>
              <w:t>5-13</w:t>
            </w:r>
            <w:r>
              <w:rPr>
                <w:rFonts w:ascii="宋体" w:eastAsia="宋体" w:hAnsi="宋体" w:cs="宋体" w:hint="eastAsia"/>
                <w:color w:val="000000"/>
                <w:sz w:val="21"/>
                <w:szCs w:val="21"/>
              </w:rPr>
              <w:t>分。</w:t>
            </w:r>
          </w:p>
        </w:tc>
        <w:tc>
          <w:tcPr>
            <w:tcW w:w="100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5-20</w:t>
            </w:r>
          </w:p>
        </w:tc>
        <w:tc>
          <w:tcPr>
            <w:tcW w:w="97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c>
          <w:tcPr>
            <w:tcW w:w="430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c>
          <w:tcPr>
            <w:tcW w:w="1155" w:type="dxa"/>
            <w:tcBorders>
              <w:top w:val="single" w:sz="8" w:space="0" w:color="000000"/>
              <w:left w:val="nil"/>
              <w:bottom w:val="single" w:sz="8" w:space="0" w:color="000000"/>
              <w:right w:val="single" w:sz="8" w:space="0" w:color="000000"/>
            </w:tcBorders>
            <w:shd w:val="clear" w:color="auto" w:fill="auto"/>
            <w:noWrap/>
            <w:tcMar>
              <w:top w:w="15" w:type="dxa"/>
              <w:left w:w="15" w:type="dxa"/>
              <w:right w:w="15" w:type="dxa"/>
            </w:tcMar>
            <w:vAlign w:val="center"/>
          </w:tcPr>
          <w:p w:rsidR="002704BF" w:rsidRDefault="002704BF">
            <w:pPr>
              <w:rPr>
                <w:rFonts w:ascii="宋体" w:eastAsia="宋体" w:hAnsi="宋体" w:cs="宋体"/>
                <w:color w:val="000000"/>
                <w:sz w:val="22"/>
                <w:szCs w:val="22"/>
              </w:rPr>
            </w:pPr>
          </w:p>
        </w:tc>
      </w:tr>
      <w:tr w:rsidR="002704BF">
        <w:trPr>
          <w:trHeight w:val="1840"/>
        </w:trPr>
        <w:tc>
          <w:tcPr>
            <w:tcW w:w="10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加分项（</w:t>
            </w:r>
            <w:r>
              <w:rPr>
                <w:rFonts w:ascii="宋体" w:eastAsia="宋体" w:hAnsi="宋体" w:cs="宋体" w:hint="eastAsia"/>
                <w:color w:val="000000"/>
                <w:sz w:val="21"/>
                <w:szCs w:val="21"/>
              </w:rPr>
              <w:t>0-10</w:t>
            </w:r>
            <w:r>
              <w:rPr>
                <w:rFonts w:ascii="宋体" w:eastAsia="宋体" w:hAnsi="宋体" w:cs="宋体" w:hint="eastAsia"/>
                <w:color w:val="000000"/>
                <w:sz w:val="21"/>
                <w:szCs w:val="21"/>
              </w:rPr>
              <w:t>分）</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textAlignment w:val="center"/>
              <w:rPr>
                <w:rFonts w:ascii="宋体" w:eastAsia="宋体" w:hAnsi="宋体" w:cs="宋体"/>
                <w:color w:val="000000"/>
                <w:sz w:val="21"/>
                <w:szCs w:val="21"/>
              </w:rPr>
            </w:pPr>
            <w:r>
              <w:rPr>
                <w:rFonts w:ascii="宋体" w:eastAsia="宋体" w:hAnsi="宋体" w:cs="宋体" w:hint="eastAsia"/>
                <w:color w:val="000000"/>
                <w:sz w:val="21"/>
                <w:szCs w:val="21"/>
              </w:rPr>
              <w:t>1.</w:t>
            </w:r>
            <w:r>
              <w:rPr>
                <w:rFonts w:ascii="宋体" w:eastAsia="宋体" w:hAnsi="宋体" w:cs="宋体" w:hint="eastAsia"/>
                <w:color w:val="000000"/>
                <w:sz w:val="21"/>
                <w:szCs w:val="21"/>
              </w:rPr>
              <w:t>该产品采用的工艺技术、设计等，获得地市级政府部门或省级社会组织相关科技创新奖项，酌情加</w:t>
            </w:r>
            <w:r>
              <w:rPr>
                <w:rFonts w:ascii="宋体" w:eastAsia="宋体" w:hAnsi="宋体" w:cs="宋体" w:hint="eastAsia"/>
                <w:color w:val="000000"/>
                <w:sz w:val="21"/>
                <w:szCs w:val="21"/>
              </w:rPr>
              <w:t>0-5</w:t>
            </w:r>
            <w:r>
              <w:rPr>
                <w:rFonts w:ascii="宋体" w:eastAsia="宋体" w:hAnsi="宋体" w:cs="宋体" w:hint="eastAsia"/>
                <w:color w:val="000000"/>
                <w:sz w:val="21"/>
                <w:szCs w:val="21"/>
              </w:rPr>
              <w:t>分；省部级政府或国家级社会组织相关科技创新奖项，酌情加</w:t>
            </w:r>
            <w:r>
              <w:rPr>
                <w:rFonts w:ascii="宋体" w:eastAsia="宋体" w:hAnsi="宋体" w:cs="宋体" w:hint="eastAsia"/>
                <w:color w:val="000000"/>
                <w:sz w:val="21"/>
                <w:szCs w:val="21"/>
              </w:rPr>
              <w:t>6-10</w:t>
            </w:r>
            <w:r>
              <w:rPr>
                <w:rFonts w:ascii="宋体" w:eastAsia="宋体" w:hAnsi="宋体" w:cs="宋体" w:hint="eastAsia"/>
                <w:color w:val="000000"/>
                <w:sz w:val="21"/>
                <w:szCs w:val="21"/>
              </w:rPr>
              <w:t>分。</w:t>
            </w:r>
            <w:r>
              <w:rPr>
                <w:rFonts w:ascii="宋体" w:eastAsia="宋体" w:hAnsi="宋体" w:cs="宋体" w:hint="eastAsia"/>
                <w:color w:val="000000"/>
                <w:sz w:val="21"/>
                <w:szCs w:val="21"/>
              </w:rPr>
              <w:br/>
              <w:t>2.</w:t>
            </w:r>
            <w:r>
              <w:rPr>
                <w:rFonts w:ascii="宋体" w:eastAsia="宋体" w:hAnsi="宋体" w:cs="宋体" w:hint="eastAsia"/>
                <w:color w:val="000000"/>
                <w:sz w:val="21"/>
                <w:szCs w:val="21"/>
              </w:rPr>
              <w:t>评价组认为可给与加分的情况。酌情加</w:t>
            </w:r>
            <w:r>
              <w:rPr>
                <w:rFonts w:ascii="宋体" w:eastAsia="宋体" w:hAnsi="宋体" w:cs="宋体" w:hint="eastAsia"/>
                <w:color w:val="000000"/>
                <w:sz w:val="21"/>
                <w:szCs w:val="21"/>
              </w:rPr>
              <w:t>0-5</w:t>
            </w:r>
            <w:r>
              <w:rPr>
                <w:rFonts w:ascii="宋体" w:eastAsia="宋体" w:hAnsi="宋体" w:cs="宋体" w:hint="eastAsia"/>
                <w:color w:val="000000"/>
                <w:sz w:val="21"/>
                <w:szCs w:val="21"/>
              </w:rPr>
              <w:t>分。</w:t>
            </w:r>
            <w:r>
              <w:rPr>
                <w:rFonts w:ascii="宋体" w:eastAsia="宋体" w:hAnsi="宋体" w:cs="宋体" w:hint="eastAsia"/>
                <w:color w:val="000000"/>
                <w:sz w:val="21"/>
                <w:szCs w:val="21"/>
              </w:rPr>
              <w:br/>
            </w:r>
            <w:r>
              <w:rPr>
                <w:rFonts w:ascii="宋体" w:eastAsia="宋体" w:hAnsi="宋体" w:cs="宋体" w:hint="eastAsia"/>
                <w:color w:val="000000"/>
                <w:sz w:val="21"/>
                <w:szCs w:val="21"/>
              </w:rPr>
              <w:t>加分累计不超</w:t>
            </w:r>
            <w:r>
              <w:rPr>
                <w:rFonts w:ascii="宋体" w:eastAsia="宋体" w:hAnsi="宋体" w:cs="宋体" w:hint="eastAsia"/>
                <w:color w:val="000000"/>
                <w:sz w:val="21"/>
                <w:szCs w:val="21"/>
              </w:rPr>
              <w:t>10</w:t>
            </w:r>
            <w:r>
              <w:rPr>
                <w:rFonts w:ascii="宋体" w:eastAsia="宋体" w:hAnsi="宋体" w:cs="宋体" w:hint="eastAsia"/>
                <w:color w:val="000000"/>
                <w:sz w:val="21"/>
                <w:szCs w:val="21"/>
              </w:rPr>
              <w:t>分。</w:t>
            </w:r>
          </w:p>
        </w:tc>
        <w:tc>
          <w:tcPr>
            <w:tcW w:w="10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0-10</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c>
          <w:tcPr>
            <w:tcW w:w="4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c>
          <w:tcPr>
            <w:tcW w:w="1155"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2704BF" w:rsidRDefault="002704BF">
            <w:pPr>
              <w:rPr>
                <w:rFonts w:ascii="宋体" w:eastAsia="宋体" w:hAnsi="宋体" w:cs="宋体"/>
                <w:color w:val="000000"/>
                <w:sz w:val="22"/>
                <w:szCs w:val="22"/>
              </w:rPr>
            </w:pPr>
          </w:p>
        </w:tc>
      </w:tr>
      <w:tr w:rsidR="002704BF">
        <w:trPr>
          <w:trHeight w:val="880"/>
        </w:trPr>
        <w:tc>
          <w:tcPr>
            <w:tcW w:w="670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704BF" w:rsidRDefault="002704BF">
            <w:pPr>
              <w:jc w:val="center"/>
              <w:rPr>
                <w:rFonts w:ascii="宋体" w:eastAsia="宋体" w:hAnsi="宋体" w:cs="宋体"/>
                <w:color w:val="000000"/>
                <w:sz w:val="21"/>
                <w:szCs w:val="21"/>
              </w:rPr>
            </w:pPr>
          </w:p>
        </w:tc>
        <w:tc>
          <w:tcPr>
            <w:tcW w:w="10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2704BF" w:rsidRDefault="00BC59FA">
            <w:pPr>
              <w:jc w:val="center"/>
              <w:textAlignment w:val="center"/>
              <w:rPr>
                <w:rFonts w:ascii="宋体" w:eastAsia="宋体" w:hAnsi="宋体" w:cs="宋体"/>
                <w:color w:val="000000"/>
                <w:sz w:val="21"/>
                <w:szCs w:val="21"/>
              </w:rPr>
            </w:pPr>
            <w:r>
              <w:rPr>
                <w:rFonts w:ascii="宋体" w:eastAsia="宋体" w:hAnsi="宋体" w:cs="宋体" w:hint="eastAsia"/>
                <w:color w:val="000000"/>
                <w:sz w:val="21"/>
                <w:szCs w:val="21"/>
              </w:rPr>
              <w:t>总分</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c>
          <w:tcPr>
            <w:tcW w:w="4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tcPr>
          <w:p w:rsidR="002704BF" w:rsidRDefault="002704BF">
            <w:pPr>
              <w:rPr>
                <w:rFonts w:ascii="宋体" w:eastAsia="宋体" w:hAnsi="宋体" w:cs="宋体"/>
                <w:color w:val="000000"/>
                <w:sz w:val="21"/>
                <w:szCs w:val="21"/>
              </w:rPr>
            </w:pPr>
          </w:p>
        </w:tc>
        <w:tc>
          <w:tcPr>
            <w:tcW w:w="1155"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2704BF" w:rsidRDefault="002704BF">
            <w:pPr>
              <w:rPr>
                <w:rFonts w:ascii="宋体" w:eastAsia="宋体" w:hAnsi="宋体" w:cs="宋体"/>
                <w:color w:val="000000"/>
                <w:sz w:val="22"/>
                <w:szCs w:val="22"/>
              </w:rPr>
            </w:pPr>
          </w:p>
        </w:tc>
      </w:tr>
      <w:tr w:rsidR="002704BF">
        <w:trPr>
          <w:trHeight w:val="1580"/>
        </w:trPr>
        <w:tc>
          <w:tcPr>
            <w:tcW w:w="1035" w:type="dxa"/>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2704BF" w:rsidRDefault="00BC59FA">
            <w:pPr>
              <w:jc w:val="center"/>
              <w:textAlignment w:val="center"/>
              <w:rPr>
                <w:rFonts w:ascii="宋体" w:eastAsia="宋体" w:hAnsi="宋体" w:cs="宋体"/>
                <w:color w:val="000000"/>
                <w:sz w:val="22"/>
                <w:szCs w:val="22"/>
              </w:rPr>
            </w:pPr>
            <w:bookmarkStart w:id="0" w:name="_GoBack"/>
            <w:bookmarkEnd w:id="0"/>
            <w:r>
              <w:rPr>
                <w:rFonts w:ascii="宋体" w:eastAsia="宋体" w:hAnsi="宋体" w:cs="宋体" w:hint="eastAsia"/>
                <w:color w:val="000000"/>
                <w:sz w:val="22"/>
                <w:szCs w:val="22"/>
              </w:rPr>
              <w:t>推荐意见</w:t>
            </w:r>
          </w:p>
        </w:tc>
        <w:tc>
          <w:tcPr>
            <w:tcW w:w="13110" w:type="dxa"/>
            <w:gridSpan w:val="5"/>
            <w:tcBorders>
              <w:top w:val="single" w:sz="8" w:space="0" w:color="000000"/>
              <w:left w:val="single" w:sz="8" w:space="0" w:color="000000"/>
              <w:bottom w:val="single" w:sz="8" w:space="0" w:color="000000"/>
              <w:right w:val="single" w:sz="8" w:space="0" w:color="000000"/>
            </w:tcBorders>
            <w:shd w:val="clear" w:color="auto" w:fill="auto"/>
            <w:noWrap/>
            <w:tcMar>
              <w:top w:w="15" w:type="dxa"/>
              <w:left w:w="15" w:type="dxa"/>
              <w:right w:w="15" w:type="dxa"/>
            </w:tcMar>
            <w:vAlign w:val="center"/>
          </w:tcPr>
          <w:p w:rsidR="002704BF" w:rsidRDefault="002704BF">
            <w:pPr>
              <w:jc w:val="center"/>
              <w:rPr>
                <w:rFonts w:ascii="宋体" w:eastAsia="宋体" w:hAnsi="宋体" w:cs="宋体"/>
                <w:color w:val="000000"/>
                <w:sz w:val="22"/>
                <w:szCs w:val="22"/>
              </w:rPr>
            </w:pPr>
          </w:p>
        </w:tc>
      </w:tr>
      <w:tr w:rsidR="002704BF">
        <w:trPr>
          <w:trHeight w:val="312"/>
        </w:trPr>
        <w:tc>
          <w:tcPr>
            <w:tcW w:w="14145" w:type="dxa"/>
            <w:gridSpan w:val="6"/>
            <w:vMerge w:val="restart"/>
            <w:tcBorders>
              <w:top w:val="nil"/>
              <w:left w:val="nil"/>
              <w:bottom w:val="nil"/>
              <w:right w:val="nil"/>
            </w:tcBorders>
            <w:shd w:val="clear" w:color="auto" w:fill="auto"/>
            <w:tcMar>
              <w:top w:w="15" w:type="dxa"/>
              <w:left w:w="15" w:type="dxa"/>
              <w:right w:w="15" w:type="dxa"/>
            </w:tcMar>
            <w:vAlign w:val="center"/>
          </w:tcPr>
          <w:p w:rsidR="002704BF" w:rsidRDefault="00BC59FA" w:rsidP="002704BF">
            <w:pPr>
              <w:ind w:firstLineChars="200" w:firstLine="360"/>
              <w:textAlignment w:val="center"/>
              <w:rPr>
                <w:rFonts w:ascii="宋体" w:eastAsia="宋体" w:hAnsi="宋体" w:cs="宋体"/>
                <w:color w:val="000000"/>
                <w:sz w:val="18"/>
                <w:szCs w:val="18"/>
              </w:rPr>
            </w:pPr>
            <w:r>
              <w:rPr>
                <w:rFonts w:ascii="宋体" w:eastAsia="宋体" w:hAnsi="宋体" w:cs="宋体" w:hint="eastAsia"/>
                <w:color w:val="000000"/>
                <w:sz w:val="18"/>
                <w:szCs w:val="18"/>
              </w:rPr>
              <w:t>注：评价表项目自评分和专家评分须以《广东省食品行业优秀新产品申报表》填报内容或有效佐证资料为依据。若无佐证资料则相关评价项目或指标不得分。相关依据在“自评说明”栏简要说明：</w:t>
            </w:r>
          </w:p>
          <w:p w:rsidR="002704BF" w:rsidRDefault="00BC59FA" w:rsidP="002704BF">
            <w:pPr>
              <w:ind w:firstLineChars="200" w:firstLine="360"/>
              <w:textAlignment w:val="center"/>
              <w:rPr>
                <w:rFonts w:ascii="宋体" w:eastAsia="宋体" w:hAnsi="宋体" w:cs="宋体"/>
                <w:color w:val="000000"/>
                <w:sz w:val="18"/>
                <w:szCs w:val="18"/>
              </w:rPr>
            </w:pPr>
            <w:r>
              <w:rPr>
                <w:rFonts w:ascii="宋体" w:eastAsia="宋体" w:hAnsi="宋体" w:cs="宋体" w:hint="eastAsia"/>
                <w:color w:val="000000"/>
                <w:sz w:val="18"/>
                <w:szCs w:val="18"/>
              </w:rPr>
              <w:t>a</w:t>
            </w:r>
            <w:r>
              <w:rPr>
                <w:rFonts w:ascii="宋体" w:eastAsia="宋体" w:hAnsi="宋体" w:cs="宋体" w:hint="eastAsia"/>
                <w:color w:val="000000"/>
                <w:sz w:val="18"/>
                <w:szCs w:val="18"/>
              </w:rPr>
              <w:t>）属申报表内容的，说明该内容在申报表中页码，如申报表</w:t>
            </w:r>
            <w:r>
              <w:rPr>
                <w:rFonts w:ascii="宋体" w:eastAsia="宋体" w:hAnsi="宋体" w:cs="宋体" w:hint="eastAsia"/>
                <w:color w:val="000000"/>
                <w:sz w:val="18"/>
                <w:szCs w:val="18"/>
              </w:rPr>
              <w:t>P3</w:t>
            </w:r>
            <w:r>
              <w:rPr>
                <w:rFonts w:ascii="宋体" w:eastAsia="宋体" w:hAnsi="宋体" w:cs="宋体" w:hint="eastAsia"/>
                <w:color w:val="000000"/>
                <w:sz w:val="18"/>
                <w:szCs w:val="18"/>
              </w:rPr>
              <w:t>。</w:t>
            </w:r>
          </w:p>
          <w:p w:rsidR="002704BF" w:rsidRDefault="00BC59FA" w:rsidP="002704BF">
            <w:pPr>
              <w:ind w:firstLineChars="200" w:firstLine="360"/>
              <w:textAlignment w:val="center"/>
              <w:rPr>
                <w:rFonts w:ascii="宋体" w:eastAsia="宋体" w:hAnsi="宋体" w:cs="宋体"/>
                <w:color w:val="000000"/>
                <w:sz w:val="18"/>
                <w:szCs w:val="18"/>
              </w:rPr>
            </w:pPr>
            <w:r>
              <w:rPr>
                <w:rFonts w:ascii="宋体" w:eastAsia="宋体" w:hAnsi="宋体" w:cs="宋体" w:hint="eastAsia"/>
                <w:color w:val="000000"/>
                <w:sz w:val="18"/>
                <w:szCs w:val="18"/>
              </w:rPr>
              <w:t>b)</w:t>
            </w:r>
            <w:r>
              <w:rPr>
                <w:rFonts w:ascii="宋体" w:eastAsia="宋体" w:hAnsi="宋体" w:cs="宋体" w:hint="eastAsia"/>
                <w:color w:val="000000"/>
                <w:sz w:val="18"/>
                <w:szCs w:val="18"/>
              </w:rPr>
              <w:t>另附佐证材料的，则写明材料名称。</w:t>
            </w:r>
          </w:p>
          <w:p w:rsidR="002704BF" w:rsidRDefault="00BC59FA" w:rsidP="002704BF">
            <w:pPr>
              <w:ind w:firstLineChars="200" w:firstLine="360"/>
              <w:textAlignment w:val="center"/>
              <w:rPr>
                <w:rFonts w:ascii="宋体" w:eastAsia="宋体" w:hAnsi="宋体" w:cs="宋体"/>
                <w:color w:val="000000"/>
                <w:sz w:val="18"/>
                <w:szCs w:val="18"/>
              </w:rPr>
            </w:pPr>
            <w:r>
              <w:rPr>
                <w:rFonts w:ascii="宋体" w:eastAsia="宋体" w:hAnsi="宋体" w:cs="宋体" w:hint="eastAsia"/>
                <w:color w:val="000000"/>
                <w:sz w:val="18"/>
                <w:szCs w:val="18"/>
              </w:rPr>
              <w:t>c</w:t>
            </w:r>
            <w:r>
              <w:rPr>
                <w:rFonts w:ascii="宋体" w:eastAsia="宋体" w:hAnsi="宋体" w:cs="宋体" w:hint="eastAsia"/>
                <w:color w:val="000000"/>
                <w:sz w:val="18"/>
                <w:szCs w:val="18"/>
              </w:rPr>
              <w:t>)</w:t>
            </w:r>
            <w:r>
              <w:rPr>
                <w:rFonts w:ascii="宋体" w:eastAsia="宋体" w:hAnsi="宋体" w:cs="宋体" w:hint="eastAsia"/>
                <w:color w:val="000000"/>
                <w:sz w:val="18"/>
                <w:szCs w:val="18"/>
              </w:rPr>
              <w:t>本表采用</w:t>
            </w:r>
            <w:r>
              <w:rPr>
                <w:rFonts w:ascii="宋体" w:eastAsia="宋体" w:hAnsi="宋体" w:cs="宋体" w:hint="eastAsia"/>
                <w:color w:val="000000"/>
                <w:sz w:val="18"/>
                <w:szCs w:val="18"/>
              </w:rPr>
              <w:t>A3</w:t>
            </w:r>
            <w:r>
              <w:rPr>
                <w:rFonts w:ascii="宋体" w:eastAsia="宋体" w:hAnsi="宋体" w:cs="宋体" w:hint="eastAsia"/>
                <w:color w:val="000000"/>
                <w:sz w:val="18"/>
                <w:szCs w:val="18"/>
              </w:rPr>
              <w:t>双面打印，一式两份。</w:t>
            </w:r>
          </w:p>
        </w:tc>
      </w:tr>
      <w:tr w:rsidR="002704BF">
        <w:trPr>
          <w:trHeight w:val="312"/>
        </w:trPr>
        <w:tc>
          <w:tcPr>
            <w:tcW w:w="14145" w:type="dxa"/>
            <w:gridSpan w:val="6"/>
            <w:vMerge/>
            <w:tcBorders>
              <w:top w:val="nil"/>
              <w:left w:val="nil"/>
              <w:bottom w:val="nil"/>
              <w:right w:val="nil"/>
            </w:tcBorders>
            <w:shd w:val="clear" w:color="auto" w:fill="auto"/>
            <w:tcMar>
              <w:top w:w="15" w:type="dxa"/>
              <w:left w:w="15" w:type="dxa"/>
              <w:right w:w="15" w:type="dxa"/>
            </w:tcMar>
            <w:vAlign w:val="center"/>
          </w:tcPr>
          <w:p w:rsidR="002704BF" w:rsidRDefault="002704BF">
            <w:pPr>
              <w:rPr>
                <w:rFonts w:ascii="宋体" w:eastAsia="宋体" w:hAnsi="宋体" w:cs="宋体"/>
                <w:color w:val="000000"/>
                <w:sz w:val="18"/>
                <w:szCs w:val="18"/>
              </w:rPr>
            </w:pPr>
          </w:p>
        </w:tc>
      </w:tr>
      <w:tr w:rsidR="002704BF">
        <w:trPr>
          <w:trHeight w:val="720"/>
        </w:trPr>
        <w:tc>
          <w:tcPr>
            <w:tcW w:w="14145" w:type="dxa"/>
            <w:gridSpan w:val="6"/>
            <w:vMerge/>
            <w:tcBorders>
              <w:top w:val="nil"/>
              <w:left w:val="nil"/>
              <w:bottom w:val="nil"/>
              <w:right w:val="nil"/>
            </w:tcBorders>
            <w:shd w:val="clear" w:color="auto" w:fill="auto"/>
            <w:tcMar>
              <w:top w:w="15" w:type="dxa"/>
              <w:left w:w="15" w:type="dxa"/>
              <w:right w:w="15" w:type="dxa"/>
            </w:tcMar>
            <w:vAlign w:val="center"/>
          </w:tcPr>
          <w:p w:rsidR="002704BF" w:rsidRDefault="002704BF">
            <w:pPr>
              <w:rPr>
                <w:rFonts w:ascii="宋体" w:eastAsia="宋体" w:hAnsi="宋体" w:cs="宋体"/>
                <w:color w:val="000000"/>
                <w:sz w:val="18"/>
                <w:szCs w:val="18"/>
              </w:rPr>
            </w:pPr>
          </w:p>
        </w:tc>
      </w:tr>
    </w:tbl>
    <w:p w:rsidR="002704BF" w:rsidRDefault="002704BF"/>
    <w:p w:rsidR="002704BF" w:rsidRDefault="00BC59FA">
      <w:pPr>
        <w:rPr>
          <w:b/>
          <w:bCs/>
        </w:rPr>
      </w:pPr>
      <w:r>
        <w:rPr>
          <w:rFonts w:hint="eastAsia"/>
          <w:b/>
          <w:bCs/>
        </w:rPr>
        <w:t>专家签名：</w:t>
      </w:r>
    </w:p>
    <w:p w:rsidR="002704BF" w:rsidRDefault="002704BF">
      <w:pPr>
        <w:rPr>
          <w:b/>
          <w:bCs/>
        </w:rPr>
      </w:pPr>
    </w:p>
    <w:p w:rsidR="002704BF" w:rsidRDefault="00BC59FA">
      <w:pPr>
        <w:ind w:firstLineChars="2300" w:firstLine="5542"/>
        <w:rPr>
          <w:b/>
          <w:bCs/>
        </w:rPr>
      </w:pPr>
      <w:r>
        <w:rPr>
          <w:rFonts w:hint="eastAsia"/>
          <w:b/>
          <w:bCs/>
        </w:rPr>
        <w:t>年</w:t>
      </w:r>
      <w:r>
        <w:rPr>
          <w:rFonts w:hint="eastAsia"/>
          <w:b/>
          <w:bCs/>
        </w:rPr>
        <w:t xml:space="preserve">   </w:t>
      </w:r>
      <w:r>
        <w:rPr>
          <w:rFonts w:hint="eastAsia"/>
          <w:b/>
          <w:bCs/>
        </w:rPr>
        <w:t>月</w:t>
      </w:r>
      <w:r>
        <w:rPr>
          <w:rFonts w:hint="eastAsia"/>
          <w:b/>
          <w:bCs/>
        </w:rPr>
        <w:t xml:space="preserve">   </w:t>
      </w:r>
      <w:r>
        <w:rPr>
          <w:rFonts w:hint="eastAsia"/>
          <w:b/>
          <w:bCs/>
        </w:rPr>
        <w:t>日</w:t>
      </w:r>
    </w:p>
    <w:sectPr w:rsidR="002704BF" w:rsidSect="002704BF">
      <w:pgSz w:w="16838" w:h="23811"/>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9FA" w:rsidRDefault="00BC59FA" w:rsidP="00BC59FA">
      <w:r>
        <w:separator/>
      </w:r>
    </w:p>
  </w:endnote>
  <w:endnote w:type="continuationSeparator" w:id="0">
    <w:p w:rsidR="00BC59FA" w:rsidRDefault="00BC59FA" w:rsidP="00BC59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9FA" w:rsidRDefault="00BC59FA" w:rsidP="00BC59FA">
      <w:r>
        <w:separator/>
      </w:r>
    </w:p>
  </w:footnote>
  <w:footnote w:type="continuationSeparator" w:id="0">
    <w:p w:rsidR="00BC59FA" w:rsidRDefault="00BC59FA" w:rsidP="00BC59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
  <w:rsids>
    <w:rsidRoot w:val="002704BF"/>
    <w:rsid w:val="002704BF"/>
    <w:rsid w:val="00BC59FA"/>
    <w:rsid w:val="6B663B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04BF"/>
    <w:rPr>
      <w:rFonts w:asciiTheme="minorHAnsi" w:eastAsiaTheme="minorEastAsia" w:hAnsiTheme="minorHAns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C59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C59FA"/>
    <w:rPr>
      <w:rFonts w:asciiTheme="minorHAnsi" w:eastAsiaTheme="minorEastAsia" w:hAnsiTheme="minorHAnsi"/>
      <w:sz w:val="18"/>
      <w:szCs w:val="18"/>
    </w:rPr>
  </w:style>
  <w:style w:type="paragraph" w:styleId="a4">
    <w:name w:val="footer"/>
    <w:basedOn w:val="a"/>
    <w:link w:val="Char0"/>
    <w:rsid w:val="00BC59FA"/>
    <w:pPr>
      <w:tabs>
        <w:tab w:val="center" w:pos="4153"/>
        <w:tab w:val="right" w:pos="8306"/>
      </w:tabs>
      <w:snapToGrid w:val="0"/>
    </w:pPr>
    <w:rPr>
      <w:sz w:val="18"/>
      <w:szCs w:val="18"/>
    </w:rPr>
  </w:style>
  <w:style w:type="character" w:customStyle="1" w:styleId="Char0">
    <w:name w:val="页脚 Char"/>
    <w:basedOn w:val="a0"/>
    <w:link w:val="a4"/>
    <w:rsid w:val="00BC59FA"/>
    <w:rPr>
      <w:rFonts w:asciiTheme="minorHAnsi" w:eastAsiaTheme="minorEastAsia" w:hAnsiTheme="minorHAns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994</Words>
  <Characters>193</Characters>
  <Application>Microsoft Office Word</Application>
  <DocSecurity>0</DocSecurity>
  <Lines>1</Lines>
  <Paragraphs>2</Paragraphs>
  <ScaleCrop>false</ScaleCrop>
  <Company/>
  <LinksUpToDate>false</LinksUpToDate>
  <CharactersWithSpaces>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jujumao</cp:lastModifiedBy>
  <cp:revision>2</cp:revision>
  <dcterms:created xsi:type="dcterms:W3CDTF">2021-10-13T02:04:00Z</dcterms:created>
  <dcterms:modified xsi:type="dcterms:W3CDTF">2022-02-05T14:10:00Z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CACB293078DF45C6AB2DE3A457AE063C</vt:lpwstr>
  </property>
</Properties>
</file>