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4595" w:type="dxa"/>
        <w:tblInd w:w="-6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695"/>
        <w:gridCol w:w="3735"/>
        <w:gridCol w:w="1725"/>
        <w:gridCol w:w="1230"/>
        <w:gridCol w:w="5010"/>
        <w:gridCol w:w="12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60" w:hRule="atLeast"/>
        </w:trPr>
        <w:tc>
          <w:tcPr>
            <w:tcW w:w="14595" w:type="dxa"/>
            <w:gridSpan w:val="6"/>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bookmarkStart w:id="0" w:name="_GoBack"/>
            <w:bookmarkEnd w:id="0"/>
            <w:r>
              <w:rPr>
                <w:rFonts w:hint="eastAsia" w:ascii="宋体" w:hAnsi="宋体" w:eastAsia="宋体" w:cs="宋体"/>
                <w:b/>
                <w:bCs/>
                <w:i w:val="0"/>
                <w:iCs w:val="0"/>
                <w:color w:val="000000"/>
                <w:sz w:val="44"/>
                <w:szCs w:val="44"/>
                <w:u w:val="none"/>
              </w:rPr>
              <w:t>表A.2  广东省食品行业科技创新先进单位评价表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7155" w:type="dxa"/>
            <w:gridSpan w:val="3"/>
            <w:vMerge w:val="restart"/>
            <w:tcBorders>
              <w:top w:val="nil"/>
              <w:left w:val="nil"/>
              <w:bottom w:val="single" w:color="auto" w:sz="4" w:space="0"/>
              <w:right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sz w:val="22"/>
                <w:szCs w:val="22"/>
                <w:u w:val="none"/>
              </w:rPr>
              <w:t>申报单位</w:t>
            </w:r>
            <w:r>
              <w:rPr>
                <w:rFonts w:hint="eastAsia" w:ascii="宋体" w:hAnsi="宋体" w:eastAsia="宋体" w:cs="宋体"/>
                <w:b/>
                <w:bCs/>
                <w:i w:val="0"/>
                <w:iCs w:val="0"/>
                <w:color w:val="000000"/>
                <w:sz w:val="22"/>
                <w:szCs w:val="22"/>
                <w:u w:val="none"/>
                <w:lang w:eastAsia="zh-CN"/>
              </w:rPr>
              <w:t>（盖章）</w:t>
            </w:r>
            <w:r>
              <w:rPr>
                <w:rFonts w:hint="eastAsia" w:ascii="宋体" w:hAnsi="宋体" w:eastAsia="宋体" w:cs="宋体"/>
                <w:b/>
                <w:bCs/>
                <w:i w:val="0"/>
                <w:iCs w:val="0"/>
                <w:color w:val="000000"/>
                <w:sz w:val="22"/>
                <w:szCs w:val="22"/>
                <w:u w:val="none"/>
              </w:rPr>
              <w:t>：</w:t>
            </w:r>
          </w:p>
        </w:tc>
        <w:tc>
          <w:tcPr>
            <w:tcW w:w="7440" w:type="dxa"/>
            <w:gridSpan w:val="3"/>
            <w:vMerge w:val="restart"/>
            <w:tcBorders>
              <w:top w:val="nil"/>
              <w:left w:val="nil"/>
              <w:bottom w:val="single" w:color="auto" w:sz="4" w:space="0"/>
              <w:right w:val="nil"/>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sz w:val="22"/>
                <w:szCs w:val="22"/>
                <w:u w:val="none"/>
              </w:rPr>
              <w:t>联系人和电话：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95" w:hRule="atLeast"/>
        </w:trPr>
        <w:tc>
          <w:tcPr>
            <w:tcW w:w="7155" w:type="dxa"/>
            <w:gridSpan w:val="3"/>
            <w:vMerge w:val="continue"/>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both"/>
              <w:rPr>
                <w:rFonts w:hint="eastAsia" w:ascii="宋体" w:hAnsi="宋体" w:eastAsia="宋体" w:cs="宋体"/>
                <w:i w:val="0"/>
                <w:iCs w:val="0"/>
                <w:color w:val="000000"/>
                <w:sz w:val="22"/>
                <w:szCs w:val="22"/>
                <w:u w:val="none"/>
              </w:rPr>
            </w:pPr>
          </w:p>
        </w:tc>
        <w:tc>
          <w:tcPr>
            <w:tcW w:w="7440" w:type="dxa"/>
            <w:gridSpan w:val="3"/>
            <w:vMerge w:val="continue"/>
            <w:tcBorders>
              <w:top w:val="single" w:color="auto" w:sz="4" w:space="0"/>
              <w:left w:val="nil"/>
              <w:bottom w:val="single" w:color="auto" w:sz="4" w:space="0"/>
              <w:right w:val="nil"/>
            </w:tcBorders>
            <w:shd w:val="clear" w:color="auto" w:fill="auto"/>
            <w:tcMar>
              <w:top w:w="15" w:type="dxa"/>
              <w:left w:w="15" w:type="dxa"/>
              <w:right w:w="15" w:type="dxa"/>
            </w:tcMar>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2" w:hRule="atLeast"/>
        </w:trPr>
        <w:tc>
          <w:tcPr>
            <w:tcW w:w="1695" w:type="dxa"/>
            <w:vMerge w:val="restart"/>
            <w:tcBorders>
              <w:top w:val="single" w:color="auto" w:sz="4"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iCs w:val="0"/>
                <w:color w:val="000000"/>
                <w:sz w:val="20"/>
                <w:szCs w:val="20"/>
                <w:u w:val="none"/>
              </w:rPr>
            </w:pPr>
            <w:r>
              <w:rPr>
                <w:rFonts w:hint="eastAsia" w:ascii="黑体" w:hAnsi="宋体" w:eastAsia="黑体" w:cs="黑体"/>
                <w:i w:val="0"/>
                <w:iCs w:val="0"/>
                <w:color w:val="000000"/>
                <w:sz w:val="20"/>
                <w:szCs w:val="20"/>
                <w:u w:val="none"/>
              </w:rPr>
              <w:t>项目/分值</w:t>
            </w:r>
          </w:p>
        </w:tc>
        <w:tc>
          <w:tcPr>
            <w:tcW w:w="3735" w:type="dxa"/>
            <w:vMerge w:val="restart"/>
            <w:tcBorders>
              <w:top w:val="single" w:color="auto" w:sz="4" w:space="0"/>
              <w:left w:val="nil"/>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sz w:val="20"/>
                <w:szCs w:val="20"/>
                <w:u w:val="none"/>
              </w:rPr>
              <w:t>评分标准</w:t>
            </w:r>
          </w:p>
        </w:tc>
        <w:tc>
          <w:tcPr>
            <w:tcW w:w="1725" w:type="dxa"/>
            <w:vMerge w:val="restart"/>
            <w:tcBorders>
              <w:top w:val="single" w:color="auto" w:sz="4" w:space="0"/>
              <w:left w:val="nil"/>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sz w:val="20"/>
                <w:szCs w:val="20"/>
                <w:u w:val="none"/>
              </w:rPr>
              <w:t>评分区间</w:t>
            </w:r>
          </w:p>
        </w:tc>
        <w:tc>
          <w:tcPr>
            <w:tcW w:w="1230" w:type="dxa"/>
            <w:vMerge w:val="restart"/>
            <w:tcBorders>
              <w:top w:val="single" w:color="auto" w:sz="4" w:space="0"/>
              <w:left w:val="nil"/>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sz w:val="20"/>
                <w:szCs w:val="20"/>
                <w:u w:val="none"/>
              </w:rPr>
              <w:t>自评分</w:t>
            </w:r>
          </w:p>
        </w:tc>
        <w:tc>
          <w:tcPr>
            <w:tcW w:w="5010" w:type="dxa"/>
            <w:vMerge w:val="restart"/>
            <w:tcBorders>
              <w:top w:val="single" w:color="auto" w:sz="4" w:space="0"/>
              <w:left w:val="nil"/>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sz w:val="20"/>
                <w:szCs w:val="20"/>
                <w:u w:val="none"/>
              </w:rPr>
              <w:t>评分说明</w:t>
            </w:r>
          </w:p>
        </w:tc>
        <w:tc>
          <w:tcPr>
            <w:tcW w:w="1200" w:type="dxa"/>
            <w:vMerge w:val="restart"/>
            <w:tcBorders>
              <w:top w:val="single" w:color="auto" w:sz="4" w:space="0"/>
              <w:left w:val="nil"/>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sz w:val="20"/>
                <w:szCs w:val="20"/>
                <w:u w:val="none"/>
              </w:rPr>
              <w:t>专家评分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2" w:hRule="atLeast"/>
        </w:trPr>
        <w:tc>
          <w:tcPr>
            <w:tcW w:w="1695" w:type="dxa"/>
            <w:vMerge w:val="continue"/>
            <w:tcBorders>
              <w:top w:val="single" w:color="auto" w:sz="4" w:space="0"/>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iCs w:val="0"/>
                <w:color w:val="000000"/>
                <w:sz w:val="20"/>
                <w:szCs w:val="20"/>
                <w:u w:val="none"/>
              </w:rPr>
            </w:pPr>
          </w:p>
        </w:tc>
        <w:tc>
          <w:tcPr>
            <w:tcW w:w="3735" w:type="dxa"/>
            <w:vMerge w:val="continue"/>
            <w:tcBorders>
              <w:top w:val="single" w:color="auto" w:sz="4" w:space="0"/>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iCs w:val="0"/>
                <w:color w:val="000000"/>
                <w:sz w:val="20"/>
                <w:szCs w:val="20"/>
                <w:u w:val="none"/>
              </w:rPr>
            </w:pPr>
          </w:p>
        </w:tc>
        <w:tc>
          <w:tcPr>
            <w:tcW w:w="1725" w:type="dxa"/>
            <w:vMerge w:val="continue"/>
            <w:tcBorders>
              <w:top w:val="single" w:color="auto" w:sz="4" w:space="0"/>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iCs w:val="0"/>
                <w:color w:val="000000"/>
                <w:sz w:val="20"/>
                <w:szCs w:val="20"/>
                <w:u w:val="none"/>
              </w:rPr>
            </w:pPr>
          </w:p>
        </w:tc>
        <w:tc>
          <w:tcPr>
            <w:tcW w:w="1230" w:type="dxa"/>
            <w:vMerge w:val="continue"/>
            <w:tcBorders>
              <w:top w:val="single" w:color="auto" w:sz="4" w:space="0"/>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iCs w:val="0"/>
                <w:color w:val="000000"/>
                <w:sz w:val="20"/>
                <w:szCs w:val="20"/>
                <w:u w:val="none"/>
              </w:rPr>
            </w:pPr>
          </w:p>
        </w:tc>
        <w:tc>
          <w:tcPr>
            <w:tcW w:w="5010" w:type="dxa"/>
            <w:vMerge w:val="continue"/>
            <w:tcBorders>
              <w:top w:val="single" w:color="auto" w:sz="4" w:space="0"/>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iCs w:val="0"/>
                <w:color w:val="000000"/>
                <w:sz w:val="20"/>
                <w:szCs w:val="20"/>
                <w:u w:val="none"/>
              </w:rPr>
            </w:pPr>
          </w:p>
        </w:tc>
        <w:tc>
          <w:tcPr>
            <w:tcW w:w="1200" w:type="dxa"/>
            <w:vMerge w:val="continue"/>
            <w:tcBorders>
              <w:top w:val="single" w:color="auto" w:sz="4" w:space="0"/>
              <w:left w:val="nil"/>
              <w:bottom w:val="single" w:color="auto" w:sz="4"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40" w:hRule="atLeast"/>
        </w:trPr>
        <w:tc>
          <w:tcPr>
            <w:tcW w:w="1695" w:type="dxa"/>
            <w:vMerge w:val="restart"/>
            <w:tcBorders>
              <w:top w:val="single" w:color="auto" w:sz="4"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1.前置条件</w:t>
            </w:r>
          </w:p>
        </w:tc>
        <w:tc>
          <w:tcPr>
            <w:tcW w:w="3735" w:type="dxa"/>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申请单位注册成立满三年。</w:t>
            </w:r>
          </w:p>
        </w:tc>
        <w:tc>
          <w:tcPr>
            <w:tcW w:w="1725" w:type="dxa"/>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iCs w:val="0"/>
                <w:color w:val="000000"/>
                <w:sz w:val="20"/>
                <w:szCs w:val="20"/>
                <w:u w:val="none"/>
              </w:rPr>
            </w:pPr>
          </w:p>
        </w:tc>
        <w:tc>
          <w:tcPr>
            <w:tcW w:w="1230" w:type="dxa"/>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6"/>
              </w:rPr>
              <w:t>□是  □否</w:t>
            </w:r>
          </w:p>
        </w:tc>
        <w:tc>
          <w:tcPr>
            <w:tcW w:w="5010" w:type="dxa"/>
            <w:tcBorders>
              <w:top w:val="single" w:color="auto" w:sz="4" w:space="0"/>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hint="eastAsia" w:ascii="宋体" w:hAnsi="宋体" w:eastAsia="宋体" w:cs="宋体"/>
                <w:i w:val="0"/>
                <w:iCs w:val="0"/>
                <w:color w:val="000000"/>
                <w:sz w:val="20"/>
                <w:szCs w:val="20"/>
                <w:u w:val="none"/>
              </w:rPr>
            </w:pPr>
          </w:p>
        </w:tc>
        <w:tc>
          <w:tcPr>
            <w:tcW w:w="1200" w:type="dxa"/>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6"/>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20" w:hRule="atLeast"/>
        </w:trPr>
        <w:tc>
          <w:tcPr>
            <w:tcW w:w="16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hint="eastAsia" w:ascii="宋体" w:hAnsi="宋体" w:eastAsia="宋体" w:cs="宋体"/>
                <w:i w:val="0"/>
                <w:iCs w:val="0"/>
                <w:color w:val="000000"/>
                <w:sz w:val="20"/>
                <w:szCs w:val="20"/>
                <w:u w:val="none"/>
              </w:rPr>
            </w:pPr>
          </w:p>
        </w:tc>
        <w:tc>
          <w:tcPr>
            <w:tcW w:w="37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申请评价前一年内未发生重大安全、重大质量事故或严重环境违法行为。</w:t>
            </w:r>
          </w:p>
        </w:tc>
        <w:tc>
          <w:tcPr>
            <w:tcW w:w="17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iCs w:val="0"/>
                <w:color w:val="000000"/>
                <w:sz w:val="20"/>
                <w:szCs w:val="20"/>
                <w:u w:val="none"/>
              </w:rPr>
            </w:pPr>
          </w:p>
        </w:tc>
        <w:tc>
          <w:tcPr>
            <w:tcW w:w="123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6"/>
              </w:rPr>
              <w:t>□是  □否</w:t>
            </w:r>
          </w:p>
        </w:tc>
        <w:tc>
          <w:tcPr>
            <w:tcW w:w="501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hint="eastAsia" w:ascii="宋体" w:hAnsi="宋体" w:eastAsia="宋体" w:cs="宋体"/>
                <w:i w:val="0"/>
                <w:iCs w:val="0"/>
                <w:color w:val="000000"/>
                <w:sz w:val="20"/>
                <w:szCs w:val="20"/>
                <w:u w:val="none"/>
              </w:rPr>
            </w:pPr>
          </w:p>
        </w:tc>
        <w:tc>
          <w:tcPr>
            <w:tcW w:w="120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6"/>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925" w:hRule="atLeast"/>
        </w:trPr>
        <w:tc>
          <w:tcPr>
            <w:tcW w:w="169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hint="eastAsia" w:ascii="宋体" w:hAnsi="宋体" w:eastAsia="宋体" w:cs="宋体"/>
                <w:i w:val="0"/>
                <w:iCs w:val="0"/>
                <w:color w:val="000000"/>
                <w:sz w:val="20"/>
                <w:szCs w:val="20"/>
                <w:u w:val="none"/>
              </w:rPr>
            </w:pPr>
          </w:p>
        </w:tc>
        <w:tc>
          <w:tcPr>
            <w:tcW w:w="37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①本单位主导完成的科技创新项目或研发的新产品在近两年内被国家、省有关部门评为国家、省科学技术奖及相关科技创新类奖项或广东省食品行业协会科学技术奖（二等奖以上）、优秀新产品（一等奖）。</w:t>
            </w:r>
            <w:r>
              <w:rPr>
                <w:rFonts w:hint="eastAsia" w:ascii="宋体" w:hAnsi="宋体" w:eastAsia="宋体" w:cs="宋体"/>
                <w:i w:val="0"/>
                <w:iCs w:val="0"/>
                <w:color w:val="000000"/>
                <w:sz w:val="20"/>
                <w:szCs w:val="20"/>
                <w:u w:val="none"/>
              </w:rPr>
              <w:br w:type="textWrapping"/>
            </w:r>
            <w:r>
              <w:rPr>
                <w:rFonts w:hint="eastAsia" w:ascii="宋体" w:hAnsi="宋体" w:eastAsia="宋体" w:cs="宋体"/>
                <w:i w:val="0"/>
                <w:iCs w:val="0"/>
                <w:color w:val="000000"/>
                <w:sz w:val="20"/>
                <w:szCs w:val="20"/>
                <w:u w:val="none"/>
              </w:rPr>
              <w:t>②若近两年以来无获上述奖项，则其主持或主要参加的科技创新项目或研发的新产品，需一并申报并被推荐为本年度广东省食品行业协会科学技术奖（二等奖以上）、广东省食品行业优秀新产品（一等奖）。</w:t>
            </w:r>
          </w:p>
        </w:tc>
        <w:tc>
          <w:tcPr>
            <w:tcW w:w="17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符合两种情况之一</w:t>
            </w:r>
          </w:p>
        </w:tc>
        <w:tc>
          <w:tcPr>
            <w:tcW w:w="123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6"/>
              </w:rPr>
              <w:t>□是  □否</w:t>
            </w:r>
          </w:p>
        </w:tc>
        <w:tc>
          <w:tcPr>
            <w:tcW w:w="501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hint="eastAsia" w:ascii="宋体" w:hAnsi="宋体" w:eastAsia="宋体" w:cs="宋体"/>
                <w:i w:val="0"/>
                <w:iCs w:val="0"/>
                <w:color w:val="000000"/>
                <w:sz w:val="20"/>
                <w:szCs w:val="20"/>
                <w:u w:val="none"/>
              </w:rPr>
            </w:pPr>
          </w:p>
        </w:tc>
        <w:tc>
          <w:tcPr>
            <w:tcW w:w="120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6"/>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268" w:hRule="atLeast"/>
        </w:trPr>
        <w:tc>
          <w:tcPr>
            <w:tcW w:w="169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2.单位类型（5分）</w:t>
            </w:r>
          </w:p>
        </w:tc>
        <w:tc>
          <w:tcPr>
            <w:tcW w:w="3735"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申报单位已获得高新技术企业、科技型中小企业、民营科技企业等科技创新相关称号。每具有一项称号可得2.5分。</w:t>
            </w:r>
          </w:p>
        </w:tc>
        <w:tc>
          <w:tcPr>
            <w:tcW w:w="17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0-5分</w:t>
            </w:r>
          </w:p>
        </w:tc>
        <w:tc>
          <w:tcPr>
            <w:tcW w:w="123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iCs w:val="0"/>
                <w:color w:val="000000"/>
                <w:sz w:val="20"/>
                <w:szCs w:val="20"/>
                <w:u w:val="none"/>
              </w:rPr>
            </w:pPr>
          </w:p>
        </w:tc>
        <w:tc>
          <w:tcPr>
            <w:tcW w:w="501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hint="eastAsia" w:ascii="宋体" w:hAnsi="宋体" w:eastAsia="宋体" w:cs="宋体"/>
                <w:i w:val="0"/>
                <w:iCs w:val="0"/>
                <w:color w:val="000000"/>
                <w:sz w:val="20"/>
                <w:szCs w:val="20"/>
                <w:u w:val="none"/>
              </w:rPr>
            </w:pPr>
          </w:p>
        </w:tc>
        <w:tc>
          <w:tcPr>
            <w:tcW w:w="120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268" w:hRule="atLeast"/>
        </w:trPr>
        <w:tc>
          <w:tcPr>
            <w:tcW w:w="169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3.研发经费投入与支出情况（20分）</w:t>
            </w:r>
          </w:p>
        </w:tc>
        <w:tc>
          <w:tcPr>
            <w:tcW w:w="37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近一年研发费用总额占销售收入总额的比例不低于3%。达到此比例得15分，参照此比例酌情评分。</w:t>
            </w:r>
          </w:p>
        </w:tc>
        <w:tc>
          <w:tcPr>
            <w:tcW w:w="17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10-20分</w:t>
            </w:r>
          </w:p>
        </w:tc>
        <w:tc>
          <w:tcPr>
            <w:tcW w:w="123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iCs w:val="0"/>
                <w:color w:val="000000"/>
                <w:sz w:val="20"/>
                <w:szCs w:val="20"/>
                <w:u w:val="none"/>
              </w:rPr>
            </w:pPr>
          </w:p>
        </w:tc>
        <w:tc>
          <w:tcPr>
            <w:tcW w:w="501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iCs w:val="0"/>
                <w:color w:val="000000"/>
                <w:sz w:val="20"/>
                <w:szCs w:val="20"/>
                <w:u w:val="none"/>
              </w:rPr>
            </w:pPr>
          </w:p>
        </w:tc>
        <w:tc>
          <w:tcPr>
            <w:tcW w:w="120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268" w:hRule="atLeast"/>
        </w:trPr>
        <w:tc>
          <w:tcPr>
            <w:tcW w:w="169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4.研发及科研人员构成情况（10分）</w:t>
            </w:r>
          </w:p>
        </w:tc>
        <w:tc>
          <w:tcPr>
            <w:tcW w:w="37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拥有一支结构合理、水平较高的科技创新人才队伍，其中高、中级职称或本科学历以上的技术人员占15%以上。达到此比例得8分，参照此比例酌情评分。</w:t>
            </w:r>
          </w:p>
        </w:tc>
        <w:tc>
          <w:tcPr>
            <w:tcW w:w="17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5-10分</w:t>
            </w:r>
          </w:p>
        </w:tc>
        <w:tc>
          <w:tcPr>
            <w:tcW w:w="123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iCs w:val="0"/>
                <w:color w:val="000000"/>
                <w:sz w:val="20"/>
                <w:szCs w:val="20"/>
                <w:u w:val="none"/>
              </w:rPr>
            </w:pPr>
          </w:p>
        </w:tc>
        <w:tc>
          <w:tcPr>
            <w:tcW w:w="501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iCs w:val="0"/>
                <w:color w:val="000000"/>
                <w:sz w:val="20"/>
                <w:szCs w:val="20"/>
                <w:u w:val="none"/>
              </w:rPr>
            </w:pPr>
          </w:p>
        </w:tc>
        <w:tc>
          <w:tcPr>
            <w:tcW w:w="120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268" w:hRule="atLeast"/>
        </w:trPr>
        <w:tc>
          <w:tcPr>
            <w:tcW w:w="169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5.专利申请、授权及转让情况（25分）</w:t>
            </w:r>
          </w:p>
        </w:tc>
        <w:tc>
          <w:tcPr>
            <w:tcW w:w="37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通过自主研发、受让、受赠、并购等方式，获得对其主要产品（服务）在技术上发挥核心支持作用的知识产权的所有权；根据知识产权数量、应用情况酌情评分。</w:t>
            </w:r>
          </w:p>
        </w:tc>
        <w:tc>
          <w:tcPr>
            <w:tcW w:w="17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15-25分</w:t>
            </w:r>
          </w:p>
        </w:tc>
        <w:tc>
          <w:tcPr>
            <w:tcW w:w="123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iCs w:val="0"/>
                <w:color w:val="000000"/>
                <w:sz w:val="20"/>
                <w:szCs w:val="20"/>
                <w:u w:val="none"/>
              </w:rPr>
            </w:pPr>
          </w:p>
        </w:tc>
        <w:tc>
          <w:tcPr>
            <w:tcW w:w="501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iCs w:val="0"/>
                <w:color w:val="000000"/>
                <w:sz w:val="20"/>
                <w:szCs w:val="20"/>
                <w:u w:val="none"/>
              </w:rPr>
            </w:pPr>
          </w:p>
        </w:tc>
        <w:tc>
          <w:tcPr>
            <w:tcW w:w="120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268" w:hRule="atLeast"/>
        </w:trPr>
        <w:tc>
          <w:tcPr>
            <w:tcW w:w="169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6.新产品研发、销售及出口情况（20分）</w:t>
            </w:r>
          </w:p>
        </w:tc>
        <w:tc>
          <w:tcPr>
            <w:tcW w:w="373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根据申报单位新产品研发、销售及出口情况酌情评分。</w:t>
            </w:r>
          </w:p>
        </w:tc>
        <w:tc>
          <w:tcPr>
            <w:tcW w:w="1725"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10-20分</w:t>
            </w:r>
          </w:p>
        </w:tc>
        <w:tc>
          <w:tcPr>
            <w:tcW w:w="1230" w:type="dxa"/>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iCs w:val="0"/>
                <w:color w:val="000000"/>
                <w:sz w:val="20"/>
                <w:szCs w:val="20"/>
                <w:u w:val="none"/>
              </w:rPr>
            </w:pPr>
          </w:p>
        </w:tc>
        <w:tc>
          <w:tcPr>
            <w:tcW w:w="501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iCs w:val="0"/>
                <w:color w:val="000000"/>
                <w:sz w:val="20"/>
                <w:szCs w:val="20"/>
                <w:u w:val="none"/>
              </w:rPr>
            </w:pPr>
          </w:p>
        </w:tc>
        <w:tc>
          <w:tcPr>
            <w:tcW w:w="120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268" w:hRule="atLeast"/>
        </w:trPr>
        <w:tc>
          <w:tcPr>
            <w:tcW w:w="169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7.全员劳动生产率情况（10分）</w:t>
            </w:r>
          </w:p>
        </w:tc>
        <w:tc>
          <w:tcPr>
            <w:tcW w:w="373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根据申报单位全员劳动生产率情况酌情评分。</w:t>
            </w:r>
          </w:p>
        </w:tc>
        <w:tc>
          <w:tcPr>
            <w:tcW w:w="172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5-10分</w:t>
            </w:r>
          </w:p>
        </w:tc>
        <w:tc>
          <w:tcPr>
            <w:tcW w:w="123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iCs w:val="0"/>
                <w:color w:val="000000"/>
                <w:sz w:val="20"/>
                <w:szCs w:val="20"/>
                <w:u w:val="none"/>
              </w:rPr>
            </w:pPr>
          </w:p>
        </w:tc>
        <w:tc>
          <w:tcPr>
            <w:tcW w:w="501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iCs w:val="0"/>
                <w:color w:val="000000"/>
                <w:sz w:val="20"/>
                <w:szCs w:val="20"/>
                <w:u w:val="none"/>
              </w:rPr>
            </w:pPr>
          </w:p>
        </w:tc>
        <w:tc>
          <w:tcPr>
            <w:tcW w:w="12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both"/>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268" w:hRule="atLeast"/>
        </w:trPr>
        <w:tc>
          <w:tcPr>
            <w:tcW w:w="1695" w:type="dxa"/>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8.主持或参与制（修）订标准情况（10分）</w:t>
            </w:r>
          </w:p>
        </w:tc>
        <w:tc>
          <w:tcPr>
            <w:tcW w:w="3735"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根据申报单位主持或参与制（修）订国家、行业、地方或团体标准的情况酌情评分。</w:t>
            </w:r>
          </w:p>
        </w:tc>
        <w:tc>
          <w:tcPr>
            <w:tcW w:w="1725"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5-10分</w:t>
            </w:r>
          </w:p>
        </w:tc>
        <w:tc>
          <w:tcPr>
            <w:tcW w:w="1230"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iCs w:val="0"/>
                <w:color w:val="000000"/>
                <w:sz w:val="20"/>
                <w:szCs w:val="20"/>
                <w:u w:val="none"/>
              </w:rPr>
            </w:pPr>
          </w:p>
        </w:tc>
        <w:tc>
          <w:tcPr>
            <w:tcW w:w="501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iCs w:val="0"/>
                <w:color w:val="000000"/>
                <w:sz w:val="20"/>
                <w:szCs w:val="20"/>
                <w:u w:val="none"/>
              </w:rPr>
            </w:pPr>
          </w:p>
        </w:tc>
        <w:tc>
          <w:tcPr>
            <w:tcW w:w="1200"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7155"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3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总分</w:t>
            </w:r>
          </w:p>
        </w:tc>
        <w:tc>
          <w:tcPr>
            <w:tcW w:w="501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iCs w:val="0"/>
                <w:color w:val="000000"/>
                <w:sz w:val="22"/>
                <w:szCs w:val="22"/>
                <w:u w:val="none"/>
              </w:rPr>
            </w:pPr>
          </w:p>
        </w:tc>
        <w:tc>
          <w:tcPr>
            <w:tcW w:w="120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69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推荐意见</w:t>
            </w:r>
          </w:p>
        </w:tc>
        <w:tc>
          <w:tcPr>
            <w:tcW w:w="12900" w:type="dxa"/>
            <w:gridSpan w:val="5"/>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6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900" w:type="dxa"/>
            <w:gridSpan w:val="5"/>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715" w:hRule="atLeast"/>
        </w:trPr>
        <w:tc>
          <w:tcPr>
            <w:tcW w:w="169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c>
          <w:tcPr>
            <w:tcW w:w="12900" w:type="dxa"/>
            <w:gridSpan w:val="5"/>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4595" w:type="dxa"/>
            <w:gridSpan w:val="6"/>
            <w:vMerge w:val="restart"/>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注：评价表中评价项目自评分和专家评分须以申报表填报内容或有效佐证资料为依据。若无佐证资料则相关评价项目或指标不得分。相关依据在“自评说明”栏简要说明：</w:t>
            </w:r>
          </w:p>
          <w:p>
            <w:pPr>
              <w:keepNext w:val="0"/>
              <w:keepLines w:val="0"/>
              <w:widowControl/>
              <w:suppressLineNumbers w:val="0"/>
              <w:ind w:firstLineChars="20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a）属申报表内容的，说明该内容在申报表中页码，如申报表P3。</w:t>
            </w:r>
          </w:p>
          <w:p>
            <w:pPr>
              <w:keepNext w:val="0"/>
              <w:keepLines w:val="0"/>
              <w:widowControl/>
              <w:suppressLineNumbers w:val="0"/>
              <w:ind w:firstLineChars="20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b）另附佐证材料的，则写明材料名称。</w:t>
            </w:r>
          </w:p>
          <w:p>
            <w:pPr>
              <w:keepNext w:val="0"/>
              <w:keepLines w:val="0"/>
              <w:widowControl/>
              <w:suppressLineNumbers w:val="0"/>
              <w:ind w:firstLineChars="200"/>
              <w:jc w:val="left"/>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c）本表采用A3双面打印，一式两份。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4595" w:type="dxa"/>
            <w:gridSpan w:val="6"/>
            <w:vMerge w:val="continue"/>
            <w:tcBorders>
              <w:top w:val="nil"/>
              <w:left w:val="nil"/>
              <w:bottom w:val="nil"/>
              <w:right w:val="nil"/>
            </w:tcBorders>
            <w:shd w:val="clear" w:color="auto" w:fill="auto"/>
            <w:tcMar>
              <w:top w:w="15" w:type="dxa"/>
              <w:left w:w="15" w:type="dxa"/>
              <w:right w:w="15" w:type="dxa"/>
            </w:tcMar>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80" w:hRule="atLeast"/>
        </w:trPr>
        <w:tc>
          <w:tcPr>
            <w:tcW w:w="14595" w:type="dxa"/>
            <w:gridSpan w:val="6"/>
            <w:vMerge w:val="continue"/>
            <w:tcBorders>
              <w:top w:val="nil"/>
              <w:left w:val="nil"/>
              <w:bottom w:val="nil"/>
              <w:right w:val="nil"/>
            </w:tcBorders>
            <w:shd w:val="clear" w:color="auto" w:fill="auto"/>
            <w:tcMar>
              <w:top w:w="15" w:type="dxa"/>
              <w:left w:w="15" w:type="dxa"/>
              <w:right w:w="15" w:type="dxa"/>
            </w:tcMar>
            <w:vAlign w:val="center"/>
          </w:tcPr>
          <w:p>
            <w:pPr>
              <w:jc w:val="left"/>
              <w:rPr>
                <w:rFonts w:hint="eastAsia" w:ascii="宋体" w:hAnsi="宋体" w:eastAsia="宋体" w:cs="宋体"/>
                <w:i w:val="0"/>
                <w:iCs w:val="0"/>
                <w:color w:val="000000"/>
                <w:sz w:val="18"/>
                <w:szCs w:val="18"/>
                <w:u w:val="none"/>
              </w:rPr>
            </w:pPr>
          </w:p>
        </w:tc>
      </w:tr>
    </w:tbl>
    <w:p/>
    <w:p/>
    <w:p/>
    <w:p/>
    <w:p>
      <w:pPr>
        <w:rPr>
          <w:rFonts w:hint="eastAsia"/>
          <w:b/>
          <w:bCs/>
          <w:sz w:val="32"/>
          <w:szCs w:val="32"/>
          <w:lang w:eastAsia="zh-CN"/>
        </w:rPr>
      </w:pPr>
      <w:r>
        <w:rPr>
          <w:rFonts w:hint="eastAsia"/>
          <w:b/>
          <w:bCs/>
          <w:sz w:val="32"/>
          <w:szCs w:val="32"/>
          <w:lang w:eastAsia="zh-CN"/>
        </w:rPr>
        <w:t>专家签名：</w:t>
      </w:r>
    </w:p>
    <w:p>
      <w:pPr>
        <w:rPr>
          <w:rFonts w:hint="eastAsia"/>
          <w:b/>
          <w:bCs/>
          <w:sz w:val="32"/>
          <w:szCs w:val="32"/>
          <w:lang w:eastAsia="zh-CN"/>
        </w:rPr>
      </w:pPr>
    </w:p>
    <w:p>
      <w:pPr>
        <w:ind w:firstLine="7068" w:firstLineChars="2200"/>
        <w:rPr>
          <w:rFonts w:hint="default"/>
          <w:b/>
          <w:bCs/>
          <w:sz w:val="32"/>
          <w:szCs w:val="32"/>
          <w:lang w:val="en-US" w:eastAsia="zh-CN"/>
        </w:rPr>
      </w:pPr>
      <w:r>
        <w:rPr>
          <w:rFonts w:hint="eastAsia"/>
          <w:b/>
          <w:bCs/>
          <w:sz w:val="32"/>
          <w:szCs w:val="32"/>
          <w:lang w:eastAsia="zh-CN"/>
        </w:rPr>
        <w:t>年</w:t>
      </w:r>
      <w:r>
        <w:rPr>
          <w:rFonts w:hint="eastAsia"/>
          <w:b/>
          <w:bCs/>
          <w:sz w:val="32"/>
          <w:szCs w:val="32"/>
          <w:lang w:val="en-US" w:eastAsia="zh-CN"/>
        </w:rPr>
        <w:t xml:space="preserve">   月   日</w:t>
      </w:r>
    </w:p>
    <w:sectPr>
      <w:pgSz w:w="16838" w:h="23811"/>
      <w:pgMar w:top="1440" w:right="1800" w:bottom="1440" w:left="180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E1F1F83"/>
    <w:rsid w:val="5E7232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left"/>
    </w:pPr>
    <w:rPr>
      <w:rFonts w:asciiTheme="minorHAnsi" w:hAnsiTheme="minorHAnsi" w:eastAsiaTheme="minorEastAsia" w:cstheme="minorBidi"/>
      <w:kern w:val="0"/>
      <w:sz w:val="24"/>
      <w:szCs w:val="24"/>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w:basedOn w:val="3"/>
    <w:uiPriority w:val="0"/>
    <w:pPr>
      <w:ind w:firstLine="420" w:firstLineChars="100"/>
    </w:pPr>
  </w:style>
  <w:style w:type="paragraph" w:styleId="3">
    <w:name w:val="Body Text"/>
    <w:basedOn w:val="1"/>
    <w:uiPriority w:val="0"/>
    <w:pPr>
      <w:spacing w:after="120" w:afterLines="0" w:afterAutospacing="0"/>
    </w:pPr>
  </w:style>
  <w:style w:type="character" w:customStyle="1" w:styleId="6">
    <w:name w:val="font31"/>
    <w:basedOn w:val="5"/>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2021-10-13T01:45:00Z</dcterms:created>
  <dc:creator>Administrator</dc:creator>
  <cp:lastModifiedBy>Margaret</cp:lastModifiedBy>
  <dcterms:modified xsi:type="dcterms:W3CDTF">2022-02-19T03:58:58Z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ADB54C16C3E7432E91272E1851DEF1F2</vt:lpwstr>
  </property>
</Properties>
</file>