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655" w:type="dxa"/>
        <w:tblInd w:w="-76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42"/>
        <w:gridCol w:w="1027"/>
        <w:gridCol w:w="2348"/>
        <w:gridCol w:w="1035"/>
        <w:gridCol w:w="7545"/>
        <w:gridCol w:w="15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46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44"/>
                <w:szCs w:val="44"/>
              </w:rPr>
              <w:t>表A.2  广东岭南特色食品评价表（非预包装食品）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5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 xml:space="preserve">申报单位（盖章）： </w:t>
            </w:r>
          </w:p>
        </w:tc>
        <w:tc>
          <w:tcPr>
            <w:tcW w:w="9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申报产品名称：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 xml:space="preserve">                 产品执行标准编号及名称：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评价项目</w:t>
            </w:r>
          </w:p>
        </w:tc>
        <w:tc>
          <w:tcPr>
            <w:tcW w:w="33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评价标准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自评</w:t>
            </w: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自评说明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专家评价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65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特色评价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11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原辅料</w:t>
            </w:r>
          </w:p>
        </w:tc>
        <w:tc>
          <w:tcPr>
            <w:tcW w:w="33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原辅料为广东特有品种。国家明令禁止食用或用于食品加工的动植物原料、添加剂除外。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11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为达到广东特色产品特定品质，原料遵循特定的种植（养殖）要求。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11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产品配方与工艺</w:t>
            </w:r>
          </w:p>
        </w:tc>
        <w:tc>
          <w:tcPr>
            <w:tcW w:w="33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产品配方具有广东独特地域特色。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11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产品制作采用广东地区特有的工艺。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11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以广东传统产品或配方为基础进行产品表现形式的创新。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感官性状</w:t>
            </w:r>
          </w:p>
        </w:tc>
        <w:tc>
          <w:tcPr>
            <w:tcW w:w="33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该产品外观（色泽和组织形态）和风味（滋味和气味）具有明显广东地域特色。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5" w:hRule="atLeast"/>
        </w:trPr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其他特点</w:t>
            </w:r>
          </w:p>
        </w:tc>
        <w:tc>
          <w:tcPr>
            <w:tcW w:w="33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该产品在广东特定地区有较长的制作和食用历史，与当地地理环境、饮食习俗、民间典故有密切关联，受到人们普遍喜爱，是该地区饮食文化的代表性的食品。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1465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特色要点描述（专家评价）：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465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综合评价（100分）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4485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根据产品原辅料、产品配方与工艺、感官性状的岭南特色和产品质量进行综合评价。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70分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068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感官指标（30分）</w:t>
            </w:r>
          </w:p>
        </w:tc>
        <w:tc>
          <w:tcPr>
            <w:tcW w:w="106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色泽、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外观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</w:rPr>
              <w:t>根据产品执行标准中感官指标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要求自行补充完整或产品应有特点描述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068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组织状态（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</w:rPr>
              <w:t>根据产品执行标准中感官指标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要求自行补充完整或产品应有特点描述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1068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滋味及口感、气味（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</w:rPr>
              <w:t>根据产品执行标准中感官指标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要求自行补充完整或产品应有特点描述</w:t>
            </w:r>
            <w:bookmarkStart w:id="0" w:name="_GoBack"/>
            <w:bookmarkEnd w:id="0"/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总分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推荐意见</w:t>
            </w:r>
          </w:p>
        </w:tc>
        <w:tc>
          <w:tcPr>
            <w:tcW w:w="1354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65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注：上表中各评价项目自评和专家评价须以《广东岭南特色食品认定申请表》填报内容或有效佐证资料为依据。若无佐证资料则相关评价项目或指标不予认可或不得分。相关依据在“自评说明”栏中简要说明：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a）属申请表内容的，说明该内容在申请表中页码，如申请表P3。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b）另附佐证材料的，则写明材料名称。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c）本表采用A3双面打印，一式两份。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655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4655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专家签名：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                  </w:t>
      </w:r>
      <w:r>
        <w:rPr>
          <w:rFonts w:hint="eastAsia"/>
          <w:b/>
          <w:bCs/>
          <w:sz w:val="28"/>
          <w:szCs w:val="28"/>
        </w:rPr>
        <w:t>年   月   日</w:t>
      </w:r>
    </w:p>
    <w:sectPr>
      <w:pgSz w:w="16838" w:h="23811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A3ZTkzY2M2MTA5NTMwZDA0MmIyMTIzMGIzNWI3NmUifQ=="/>
  </w:docVars>
  <w:rsids>
    <w:rsidRoot w:val="003D386C"/>
    <w:rsid w:val="003D386C"/>
    <w:rsid w:val="008E07DC"/>
    <w:rsid w:val="00C66636"/>
    <w:rsid w:val="14A35AF4"/>
    <w:rsid w:val="46847B07"/>
    <w:rsid w:val="49EF31DF"/>
    <w:rsid w:val="54E4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633</Words>
  <Characters>639</Characters>
  <Lines>1</Lines>
  <Paragraphs>1</Paragraphs>
  <TotalTime>0</TotalTime>
  <ScaleCrop>false</ScaleCrop>
  <LinksUpToDate>false</LinksUpToDate>
  <CharactersWithSpaces>648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2021-10-13T02:13:00Z</dcterms:created>
  <dc:creator>Administrator</dc:creator>
  <cp:lastModifiedBy>Margaret</cp:lastModifiedBy>
  <cp:lastPrinted>2023-02-16T03:39:32Z</cp:lastPrinted>
  <dcterms:modified xsi:type="dcterms:W3CDTF">2023-02-16T03:39:35Z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68D3BADA7C494A31A2836C7F25C3433F</vt:lpwstr>
  </property>
</Properties>
</file>