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475" w:type="dxa"/>
        <w:tblInd w:w="-573" w:type="dxa"/>
        <w:tblLayout w:type="fixed"/>
        <w:tblCellMar>
          <w:top w:w="0" w:type="dxa"/>
          <w:left w:w="0" w:type="dxa"/>
          <w:bottom w:w="0" w:type="dxa"/>
          <w:right w:w="0" w:type="dxa"/>
        </w:tblCellMar>
      </w:tblPr>
      <w:tblGrid>
        <w:gridCol w:w="1245"/>
        <w:gridCol w:w="975"/>
        <w:gridCol w:w="5055"/>
        <w:gridCol w:w="1035"/>
        <w:gridCol w:w="960"/>
        <w:gridCol w:w="4140"/>
        <w:gridCol w:w="1065"/>
      </w:tblGrid>
      <w:tr>
        <w:tblPrEx>
          <w:tblCellMar>
            <w:top w:w="0" w:type="dxa"/>
            <w:left w:w="0" w:type="dxa"/>
            <w:bottom w:w="0" w:type="dxa"/>
            <w:right w:w="0" w:type="dxa"/>
          </w:tblCellMar>
        </w:tblPrEx>
        <w:trPr>
          <w:trHeight w:val="860" w:hRule="atLeast"/>
        </w:trPr>
        <w:tc>
          <w:tcPr>
            <w:tcW w:w="14475" w:type="dxa"/>
            <w:gridSpan w:val="7"/>
            <w:shd w:val="clear" w:color="auto" w:fill="auto"/>
            <w:noWrap/>
            <w:tcMar>
              <w:top w:w="15" w:type="dxa"/>
              <w:left w:w="15" w:type="dxa"/>
              <w:right w:w="15" w:type="dxa"/>
            </w:tcMar>
            <w:vAlign w:val="center"/>
          </w:tcPr>
          <w:p>
            <w:pPr>
              <w:ind w:left="-241" w:leftChars="-200" w:hanging="239" w:hangingChars="54"/>
              <w:jc w:val="center"/>
              <w:textAlignment w:val="center"/>
              <w:rPr>
                <w:rFonts w:ascii="宋体" w:hAnsi="宋体" w:eastAsia="宋体" w:cs="宋体"/>
                <w:b/>
                <w:bCs/>
                <w:color w:val="000000"/>
                <w:sz w:val="36"/>
                <w:szCs w:val="36"/>
              </w:rPr>
            </w:pPr>
            <w:r>
              <w:rPr>
                <w:rFonts w:hint="eastAsia" w:ascii="宋体" w:hAnsi="宋体" w:eastAsia="宋体" w:cs="宋体"/>
                <w:b/>
                <w:bCs/>
                <w:color w:val="000000"/>
                <w:sz w:val="44"/>
                <w:szCs w:val="44"/>
              </w:rPr>
              <w:t>表A.1  广东省</w:t>
            </w:r>
            <w:r>
              <w:rPr>
                <w:rFonts w:hint="eastAsia" w:ascii="宋体" w:hAnsi="宋体" w:eastAsia="宋体" w:cs="宋体"/>
                <w:b/>
                <w:bCs/>
                <w:color w:val="000000"/>
                <w:sz w:val="44"/>
                <w:szCs w:val="44"/>
                <w:lang w:eastAsia="zh-CN"/>
              </w:rPr>
              <w:t>医药</w:t>
            </w:r>
            <w:r>
              <w:rPr>
                <w:rFonts w:hint="eastAsia" w:ascii="宋体" w:hAnsi="宋体" w:eastAsia="宋体" w:cs="宋体"/>
                <w:b/>
                <w:bCs/>
                <w:color w:val="000000"/>
                <w:sz w:val="44"/>
                <w:szCs w:val="44"/>
              </w:rPr>
              <w:t>行业协会科学技术奖评价表</w:t>
            </w:r>
          </w:p>
        </w:tc>
      </w:tr>
      <w:tr>
        <w:tblPrEx>
          <w:tblCellMar>
            <w:top w:w="0" w:type="dxa"/>
            <w:left w:w="0" w:type="dxa"/>
            <w:bottom w:w="0" w:type="dxa"/>
            <w:right w:w="0" w:type="dxa"/>
          </w:tblCellMar>
        </w:tblPrEx>
        <w:trPr>
          <w:trHeight w:val="312" w:hRule="atLeast"/>
        </w:trPr>
        <w:tc>
          <w:tcPr>
            <w:tcW w:w="7275" w:type="dxa"/>
            <w:gridSpan w:val="3"/>
            <w:vMerge w:val="restart"/>
            <w:shd w:val="clear" w:color="auto" w:fill="auto"/>
            <w:tcMar>
              <w:top w:w="15" w:type="dxa"/>
              <w:left w:w="15" w:type="dxa"/>
              <w:right w:w="15" w:type="dxa"/>
            </w:tcMar>
            <w:vAlign w:val="center"/>
          </w:tcPr>
          <w:p>
            <w:pPr>
              <w:jc w:val="both"/>
              <w:textAlignment w:val="center"/>
              <w:rPr>
                <w:rFonts w:ascii="宋体" w:hAnsi="宋体" w:eastAsia="宋体" w:cs="宋体"/>
                <w:color w:val="000000"/>
                <w:sz w:val="22"/>
                <w:szCs w:val="22"/>
              </w:rPr>
            </w:pPr>
            <w:r>
              <w:rPr>
                <w:rFonts w:hint="eastAsia" w:ascii="宋体" w:hAnsi="宋体" w:eastAsia="宋体" w:cs="宋体"/>
                <w:b/>
                <w:bCs/>
                <w:color w:val="000000"/>
                <w:sz w:val="22"/>
                <w:szCs w:val="22"/>
              </w:rPr>
              <w:t>申报单位（盖章）：</w:t>
            </w:r>
          </w:p>
        </w:tc>
        <w:tc>
          <w:tcPr>
            <w:tcW w:w="7200" w:type="dxa"/>
            <w:gridSpan w:val="4"/>
            <w:vMerge w:val="restart"/>
            <w:shd w:val="clear" w:color="auto" w:fill="auto"/>
            <w:tcMar>
              <w:top w:w="15" w:type="dxa"/>
              <w:left w:w="15" w:type="dxa"/>
              <w:right w:w="15" w:type="dxa"/>
            </w:tcMar>
            <w:vAlign w:val="center"/>
          </w:tcPr>
          <w:p>
            <w:pPr>
              <w:jc w:val="both"/>
              <w:textAlignment w:val="center"/>
              <w:rPr>
                <w:rFonts w:ascii="宋体" w:hAnsi="宋体" w:eastAsia="宋体" w:cs="宋体"/>
                <w:color w:val="000000"/>
                <w:sz w:val="22"/>
                <w:szCs w:val="22"/>
              </w:rPr>
            </w:pPr>
            <w:r>
              <w:rPr>
                <w:rFonts w:hint="eastAsia" w:ascii="宋体" w:hAnsi="宋体" w:eastAsia="宋体" w:cs="宋体"/>
                <w:b/>
                <w:bCs/>
                <w:color w:val="000000"/>
                <w:sz w:val="22"/>
                <w:szCs w:val="22"/>
              </w:rPr>
              <w:t>联系人和电话：</w:t>
            </w:r>
          </w:p>
        </w:tc>
      </w:tr>
      <w:tr>
        <w:tblPrEx>
          <w:tblCellMar>
            <w:top w:w="0" w:type="dxa"/>
            <w:left w:w="0" w:type="dxa"/>
            <w:bottom w:w="0" w:type="dxa"/>
            <w:right w:w="0" w:type="dxa"/>
          </w:tblCellMar>
        </w:tblPrEx>
        <w:trPr>
          <w:trHeight w:val="343" w:hRule="atLeast"/>
        </w:trPr>
        <w:tc>
          <w:tcPr>
            <w:tcW w:w="7275" w:type="dxa"/>
            <w:gridSpan w:val="3"/>
            <w:vMerge w:val="continue"/>
            <w:shd w:val="clear" w:color="auto" w:fill="auto"/>
            <w:tcMar>
              <w:top w:w="15" w:type="dxa"/>
              <w:left w:w="15" w:type="dxa"/>
              <w:right w:w="15" w:type="dxa"/>
            </w:tcMar>
            <w:vAlign w:val="center"/>
          </w:tcPr>
          <w:p>
            <w:pPr>
              <w:jc w:val="both"/>
              <w:rPr>
                <w:rFonts w:ascii="宋体" w:hAnsi="宋体" w:eastAsia="宋体" w:cs="宋体"/>
                <w:color w:val="000000"/>
                <w:sz w:val="22"/>
                <w:szCs w:val="22"/>
              </w:rPr>
            </w:pPr>
          </w:p>
        </w:tc>
        <w:tc>
          <w:tcPr>
            <w:tcW w:w="7200" w:type="dxa"/>
            <w:gridSpan w:val="4"/>
            <w:vMerge w:val="continue"/>
            <w:shd w:val="clear" w:color="auto" w:fill="auto"/>
            <w:tcMar>
              <w:top w:w="15" w:type="dxa"/>
              <w:left w:w="15" w:type="dxa"/>
              <w:right w:w="15" w:type="dxa"/>
            </w:tcMar>
            <w:vAlign w:val="center"/>
          </w:tcPr>
          <w:p>
            <w:pPr>
              <w:jc w:val="both"/>
              <w:rPr>
                <w:rFonts w:ascii="宋体" w:hAnsi="宋体" w:eastAsia="宋体" w:cs="宋体"/>
                <w:color w:val="000000"/>
                <w:sz w:val="22"/>
                <w:szCs w:val="22"/>
              </w:rPr>
            </w:pPr>
          </w:p>
        </w:tc>
      </w:tr>
      <w:tr>
        <w:tblPrEx>
          <w:tblCellMar>
            <w:top w:w="0" w:type="dxa"/>
            <w:left w:w="0" w:type="dxa"/>
            <w:bottom w:w="0" w:type="dxa"/>
            <w:right w:w="0" w:type="dxa"/>
          </w:tblCellMar>
        </w:tblPrEx>
        <w:trPr>
          <w:trHeight w:val="680" w:hRule="atLeast"/>
        </w:trPr>
        <w:tc>
          <w:tcPr>
            <w:tcW w:w="7275" w:type="dxa"/>
            <w:gridSpan w:val="3"/>
            <w:tcBorders>
              <w:bottom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2"/>
                <w:szCs w:val="22"/>
              </w:rPr>
            </w:pPr>
            <w:r>
              <w:rPr>
                <w:rFonts w:hint="eastAsia" w:ascii="宋体" w:hAnsi="宋体" w:eastAsia="宋体" w:cs="宋体"/>
                <w:b/>
                <w:bCs/>
                <w:color w:val="000000"/>
                <w:sz w:val="22"/>
                <w:szCs w:val="22"/>
              </w:rPr>
              <w:t>申报奖项名称：</w:t>
            </w:r>
          </w:p>
        </w:tc>
        <w:tc>
          <w:tcPr>
            <w:tcW w:w="7200" w:type="dxa"/>
            <w:gridSpan w:val="4"/>
            <w:tcBorders>
              <w:bottom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222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评价项目（分值）</w:t>
            </w:r>
          </w:p>
        </w:tc>
        <w:tc>
          <w:tcPr>
            <w:tcW w:w="505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评分标准</w:t>
            </w:r>
          </w:p>
        </w:tc>
        <w:tc>
          <w:tcPr>
            <w:tcW w:w="103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评分区间</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自评分</w:t>
            </w:r>
          </w:p>
        </w:tc>
        <w:tc>
          <w:tcPr>
            <w:tcW w:w="4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自评说明</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专家评分</w:t>
            </w:r>
          </w:p>
        </w:tc>
      </w:tr>
      <w:tr>
        <w:tblPrEx>
          <w:tblCellMar>
            <w:top w:w="0" w:type="dxa"/>
            <w:left w:w="0" w:type="dxa"/>
            <w:bottom w:w="0" w:type="dxa"/>
            <w:right w:w="0" w:type="dxa"/>
          </w:tblCellMar>
        </w:tblPrEx>
        <w:trPr>
          <w:trHeight w:val="312"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155" w:hRule="atLeast"/>
        </w:trPr>
        <w:tc>
          <w:tcPr>
            <w:tcW w:w="124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ind w:left="-720" w:leftChars="-300" w:firstLine="718" w:firstLineChars="342"/>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技术评价</w:t>
            </w:r>
          </w:p>
          <w:p>
            <w:pPr>
              <w:ind w:left="-720" w:leftChars="-300" w:firstLine="718" w:firstLineChars="342"/>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(50分)</w:t>
            </w:r>
          </w:p>
        </w:tc>
        <w:tc>
          <w:tcPr>
            <w:tcW w:w="97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科技创新成果</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(30分)</w:t>
            </w: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经评价，项目整体技术水平达到国际领先或国际先进。综合对比同类成果，技术难度和复杂程度很大，具有非常突出的创新性和技术先进性。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30</w:t>
            </w:r>
          </w:p>
        </w:tc>
        <w:tc>
          <w:tcPr>
            <w:tcW w:w="96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86"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经评价，项目整体技术水平达到国内领先。综合对比同类成果，技术难度和复杂程度大，具有突出的创新性和技术先进性。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25-29</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41"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经评价，项目整体技术水平达到国内先进。综合对比同类成果，有一定技术难度，具有较突出创新性和技术先进性。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20-24</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20"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经评价，项目具有一定创新性和技术先进性，在省内先进水平。</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15-19</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795"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未经评价。根据科技查新等佐证材料，评估项目创新性和技术先进性。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color w:val="auto"/>
                <w:sz w:val="21"/>
                <w:szCs w:val="21"/>
                <w:lang w:val="en-US" w:eastAsia="zh-CN"/>
              </w:rPr>
              <w:t>0-24</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86"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1"/>
                <w:szCs w:val="21"/>
              </w:rPr>
            </w:pPr>
            <w:r>
              <w:rPr>
                <w:rStyle w:val="6"/>
                <w:rFonts w:hint="default"/>
              </w:rPr>
              <w:t>加分项1：</w:t>
            </w:r>
            <w:r>
              <w:rPr>
                <w:rStyle w:val="7"/>
                <w:rFonts w:hint="default"/>
              </w:rPr>
              <w:t>经评价，确认项目成果填补了国内空白，攻克了行业内关键性、共性技术问题，具有非常显著技术开创性、突破性。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加0-5</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学术成果（20分）</w:t>
            </w: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1.取得与本项目相关的专利授权。根据创新性情况，发明专利每件评1.5-3分；实用新型专利每件评1-2分。专利未授权不计分。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sz w:val="21"/>
                <w:szCs w:val="21"/>
                <w:lang w:eastAsia="zh-CN"/>
              </w:rPr>
            </w:pPr>
            <w:r>
              <w:rPr>
                <w:rFonts w:hint="eastAsia" w:ascii="宋体" w:hAnsi="宋体" w:eastAsia="宋体" w:cs="宋体"/>
                <w:sz w:val="21"/>
                <w:szCs w:val="21"/>
              </w:rPr>
              <w:t>0-</w:t>
            </w:r>
            <w:r>
              <w:rPr>
                <w:rFonts w:hint="eastAsia" w:ascii="宋体" w:hAnsi="宋体" w:eastAsia="宋体" w:cs="宋体"/>
                <w:sz w:val="21"/>
                <w:szCs w:val="21"/>
                <w:lang w:val="en-US" w:eastAsia="zh-CN"/>
              </w:rPr>
              <w:t>8</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2.发表与本项目相关的论文、专著或科普文章，或撰写专业技术分析报告、工作总结，根据学术水平、实用性情况，每篇评0.5-2分。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sz w:val="21"/>
                <w:szCs w:val="21"/>
              </w:rPr>
            </w:pPr>
            <w:r>
              <w:rPr>
                <w:rFonts w:hint="eastAsia" w:ascii="宋体" w:hAnsi="宋体" w:eastAsia="宋体" w:cs="宋体"/>
                <w:sz w:val="21"/>
                <w:szCs w:val="21"/>
              </w:rPr>
              <w:t>0-6</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3.主持或参与制（修）订与本项目相关的标准。根据参与程度和标准复杂程度等情况，国家标准每项评4-8分，行业标准和地方标准每项评3-6分，省级团体标准每项2-4分，企业标准每项1分。标准未发布不计分。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sz w:val="21"/>
                <w:szCs w:val="21"/>
              </w:rPr>
            </w:pPr>
            <w:r>
              <w:rPr>
                <w:rFonts w:hint="eastAsia" w:ascii="宋体" w:hAnsi="宋体" w:eastAsia="宋体" w:cs="宋体"/>
                <w:color w:val="auto"/>
                <w:sz w:val="21"/>
                <w:szCs w:val="21"/>
              </w:rPr>
              <w:t>0-</w:t>
            </w:r>
            <w:r>
              <w:rPr>
                <w:rFonts w:hint="eastAsia" w:ascii="宋体" w:hAnsi="宋体" w:eastAsia="宋体" w:cs="宋体"/>
                <w:color w:val="auto"/>
                <w:sz w:val="21"/>
                <w:szCs w:val="21"/>
                <w:lang w:val="en-US" w:eastAsia="zh-CN"/>
              </w:rPr>
              <w:t>6</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1"/>
                <w:szCs w:val="21"/>
              </w:rPr>
            </w:pPr>
            <w:r>
              <w:rPr>
                <w:rStyle w:val="6"/>
                <w:rFonts w:hint="default"/>
              </w:rPr>
              <w:t>加分项2：</w:t>
            </w:r>
            <w:r>
              <w:rPr>
                <w:rStyle w:val="7"/>
                <w:rFonts w:hint="default"/>
              </w:rPr>
              <w:t>本项目取得的相关学术成果数量超出评分区间上限的，可按上述评分标准酌情加分。加分累计不超5分。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sz w:val="21"/>
                <w:szCs w:val="21"/>
              </w:rPr>
            </w:pPr>
            <w:r>
              <w:rPr>
                <w:rFonts w:hint="eastAsia" w:ascii="宋体" w:hAnsi="宋体" w:eastAsia="宋体" w:cs="宋体"/>
                <w:sz w:val="21"/>
                <w:szCs w:val="21"/>
              </w:rPr>
              <w:t>加0-5</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50" w:hRule="atLeast"/>
        </w:trPr>
        <w:tc>
          <w:tcPr>
            <w:tcW w:w="222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效益评价</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（30分）</w:t>
            </w: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textAlignment w:val="top"/>
              <w:rPr>
                <w:rFonts w:ascii="宋体" w:hAnsi="宋体" w:eastAsia="宋体" w:cs="宋体"/>
                <w:color w:val="000000"/>
                <w:sz w:val="21"/>
                <w:szCs w:val="21"/>
              </w:rPr>
            </w:pPr>
            <w:r>
              <w:rPr>
                <w:rFonts w:hint="eastAsia" w:ascii="宋体" w:hAnsi="宋体" w:eastAsia="宋体" w:cs="宋体"/>
                <w:color w:val="000000"/>
                <w:sz w:val="21"/>
                <w:szCs w:val="21"/>
              </w:rPr>
              <w:t>成果转化程度和投入产出比高，生产及产品市场状况好；节约成本、降低能耗，保护自然资源和生态环境效果突出，经济效益或社会效益显著。</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26-30</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140"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成果转化程度和投入产出比较高，生产和产品市场状况较好，对节约成本、降低能耗，保护自然资源和生态环境有一定作用，经济效益或社会效益较高。</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16-25</w:t>
            </w: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90"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成果转化程度和投入产出比一般，生产和产品市场状况一般，经济效益或社会效益一般。</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6-15</w:t>
            </w: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90" w:hRule="atLeast"/>
        </w:trPr>
        <w:tc>
          <w:tcPr>
            <w:tcW w:w="222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推广前景评价</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（20分）</w:t>
            </w: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推广应用前景广阔，行业认可度和需求高，对产业科技进步和</w:t>
            </w:r>
            <w:r>
              <w:rPr>
                <w:rFonts w:hint="eastAsia" w:ascii="宋体" w:hAnsi="宋体" w:eastAsia="宋体" w:cs="宋体"/>
                <w:color w:val="000000"/>
                <w:sz w:val="21"/>
                <w:szCs w:val="21"/>
                <w:lang w:eastAsia="zh-CN"/>
              </w:rPr>
              <w:t>医药</w:t>
            </w:r>
            <w:r>
              <w:rPr>
                <w:rFonts w:hint="eastAsia" w:ascii="宋体" w:hAnsi="宋体" w:eastAsia="宋体" w:cs="宋体"/>
                <w:color w:val="000000"/>
                <w:sz w:val="21"/>
                <w:szCs w:val="21"/>
              </w:rPr>
              <w:t>工业发展有积极促进作用。</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16-20</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925"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推广应用前景较广阔，行业认可度和需求较高，对产业科技进步和</w:t>
            </w:r>
            <w:r>
              <w:rPr>
                <w:rFonts w:hint="eastAsia" w:ascii="宋体" w:hAnsi="宋体" w:eastAsia="宋体" w:cs="宋体"/>
                <w:color w:val="000000"/>
                <w:sz w:val="21"/>
                <w:szCs w:val="21"/>
                <w:lang w:eastAsia="zh-CN"/>
              </w:rPr>
              <w:t>医药</w:t>
            </w:r>
            <w:r>
              <w:rPr>
                <w:rFonts w:hint="eastAsia" w:ascii="宋体" w:hAnsi="宋体" w:eastAsia="宋体" w:cs="宋体"/>
                <w:color w:val="000000"/>
                <w:sz w:val="21"/>
                <w:szCs w:val="21"/>
              </w:rPr>
              <w:t>工业发展有一定促进作用。</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10-15</w:t>
            </w: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79" w:hRule="atLeast"/>
        </w:trPr>
        <w:tc>
          <w:tcPr>
            <w:tcW w:w="2220"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推广应用前景一般，行业需求不高，或只应用于本单位，不对外推广。</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4-9</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375" w:hRule="atLeast"/>
        </w:trPr>
        <w:tc>
          <w:tcPr>
            <w:tcW w:w="2220"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1"/>
                <w:szCs w:val="21"/>
              </w:rPr>
            </w:pPr>
            <w:r>
              <w:rPr>
                <w:rStyle w:val="6"/>
                <w:rFonts w:hint="default"/>
              </w:rPr>
              <w:t>加分项3：</w:t>
            </w:r>
            <w:r>
              <w:rPr>
                <w:rStyle w:val="7"/>
                <w:rFonts w:hint="default"/>
              </w:rPr>
              <w:t>本项目取得政府部门和市级以上行业组织相关评价、认证、认可或推荐，可酌情加分。</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加0-10</w:t>
            </w:r>
          </w:p>
        </w:tc>
        <w:tc>
          <w:tcPr>
            <w:tcW w:w="96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20" w:hRule="atLeast"/>
        </w:trPr>
        <w:tc>
          <w:tcPr>
            <w:tcW w:w="727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03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总分</w:t>
            </w:r>
          </w:p>
        </w:tc>
        <w:tc>
          <w:tcPr>
            <w:tcW w:w="9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414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06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24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推荐意见</w:t>
            </w:r>
          </w:p>
        </w:tc>
        <w:tc>
          <w:tcPr>
            <w:tcW w:w="13230" w:type="dxa"/>
            <w:gridSpan w:val="6"/>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24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3230" w:type="dxa"/>
            <w:gridSpan w:val="6"/>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1605" w:hRule="atLeast"/>
        </w:trPr>
        <w:tc>
          <w:tcPr>
            <w:tcW w:w="124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3230" w:type="dxa"/>
            <w:gridSpan w:val="6"/>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4475" w:type="dxa"/>
            <w:gridSpan w:val="7"/>
            <w:vMerge w:val="restart"/>
            <w:tcBorders>
              <w:top w:val="nil"/>
              <w:left w:val="nil"/>
              <w:bottom w:val="nil"/>
              <w:right w:val="nil"/>
            </w:tcBorders>
            <w:shd w:val="clear" w:color="auto" w:fill="auto"/>
            <w:tcMar>
              <w:top w:w="15" w:type="dxa"/>
              <w:left w:w="15" w:type="dxa"/>
              <w:right w:w="15" w:type="dxa"/>
            </w:tcMar>
            <w:vAlign w:val="center"/>
          </w:tcPr>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注：评价表中评价项目自评分和专家评分须以申报表填报内容或有效佐证资料为依据。若无佐证资料则相关评价项目或指标不得分。相关依据在“自评说明”栏简要说明：</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a）属申报表内容的，说明该内容在申报表中页码，如申报表P3。</w:t>
            </w:r>
            <w:bookmarkStart w:id="0" w:name="_GoBack"/>
            <w:bookmarkEnd w:id="0"/>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b）另附佐证材料的，则写明材料名称。</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FF0000"/>
                <w:sz w:val="18"/>
                <w:szCs w:val="18"/>
              </w:rPr>
              <w:t>c）本表采用A3双面打印，一式两份。</w:t>
            </w:r>
          </w:p>
        </w:tc>
      </w:tr>
      <w:tr>
        <w:tblPrEx>
          <w:tblCellMar>
            <w:top w:w="0" w:type="dxa"/>
            <w:left w:w="0" w:type="dxa"/>
            <w:bottom w:w="0" w:type="dxa"/>
            <w:right w:w="0" w:type="dxa"/>
          </w:tblCellMar>
        </w:tblPrEx>
        <w:trPr>
          <w:trHeight w:val="312" w:hRule="atLeast"/>
        </w:trPr>
        <w:tc>
          <w:tcPr>
            <w:tcW w:w="14475" w:type="dxa"/>
            <w:gridSpan w:val="7"/>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780" w:hRule="atLeast"/>
        </w:trPr>
        <w:tc>
          <w:tcPr>
            <w:tcW w:w="14475" w:type="dxa"/>
            <w:gridSpan w:val="7"/>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bl>
    <w:p/>
    <w:p/>
    <w:p/>
    <w:p>
      <w:pPr>
        <w:rPr>
          <w:b/>
          <w:bCs/>
          <w:sz w:val="32"/>
          <w:szCs w:val="32"/>
        </w:rPr>
      </w:pPr>
      <w:r>
        <w:rPr>
          <w:rFonts w:hint="eastAsia"/>
          <w:b/>
          <w:bCs/>
          <w:sz w:val="32"/>
          <w:szCs w:val="32"/>
        </w:rPr>
        <w:t>专家签名：</w:t>
      </w:r>
    </w:p>
    <w:p>
      <w:pPr>
        <w:rPr>
          <w:b/>
          <w:bCs/>
          <w:sz w:val="32"/>
          <w:szCs w:val="32"/>
        </w:rPr>
      </w:pPr>
      <w:r>
        <w:rPr>
          <w:rFonts w:hint="eastAsia"/>
          <w:b/>
          <w:bCs/>
          <w:sz w:val="32"/>
          <w:szCs w:val="32"/>
        </w:rPr>
        <w:t xml:space="preserve">   </w:t>
      </w:r>
    </w:p>
    <w:p>
      <w:pPr>
        <w:rPr>
          <w:rFonts w:hint="eastAsia"/>
          <w:b/>
          <w:bCs/>
          <w:sz w:val="32"/>
          <w:szCs w:val="32"/>
        </w:rPr>
      </w:pPr>
      <w:r>
        <w:rPr>
          <w:rFonts w:hint="eastAsia"/>
          <w:b/>
          <w:bCs/>
          <w:sz w:val="32"/>
          <w:szCs w:val="32"/>
        </w:rPr>
        <w:t xml:space="preserve">                                             年   月   日</w:t>
      </w:r>
    </w:p>
    <w:p>
      <w:pPr>
        <w:rPr>
          <w:rFonts w:hint="eastAsia"/>
          <w:b/>
          <w:bCs/>
          <w:sz w:val="32"/>
          <w:szCs w:val="32"/>
        </w:rPr>
      </w:pPr>
    </w:p>
    <w:p>
      <w:pPr>
        <w:rPr>
          <w:rFonts w:hint="eastAsia"/>
          <w:b/>
          <w:bCs/>
          <w:sz w:val="32"/>
          <w:szCs w:val="32"/>
        </w:rPr>
      </w:pP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00A22DF3"/>
    <w:rsid w:val="00203B9B"/>
    <w:rsid w:val="00573964"/>
    <w:rsid w:val="00795CD8"/>
    <w:rsid w:val="00A22DF3"/>
    <w:rsid w:val="00B11041"/>
    <w:rsid w:val="00B369DC"/>
    <w:rsid w:val="0A616F60"/>
    <w:rsid w:val="112F2975"/>
    <w:rsid w:val="1B926104"/>
    <w:rsid w:val="2DDA39BA"/>
    <w:rsid w:val="3E7D6F20"/>
    <w:rsid w:val="4B910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51"/>
    <w:basedOn w:val="5"/>
    <w:qFormat/>
    <w:uiPriority w:val="0"/>
    <w:rPr>
      <w:rFonts w:hint="eastAsia" w:ascii="宋体" w:hAnsi="宋体" w:eastAsia="宋体" w:cs="宋体"/>
      <w:b/>
      <w:bCs/>
      <w:color w:val="000000"/>
      <w:sz w:val="21"/>
      <w:szCs w:val="21"/>
      <w:u w:val="none"/>
    </w:rPr>
  </w:style>
  <w:style w:type="character" w:customStyle="1" w:styleId="7">
    <w:name w:val="font71"/>
    <w:basedOn w:val="5"/>
    <w:qFormat/>
    <w:uiPriority w:val="0"/>
    <w:rPr>
      <w:rFonts w:hint="eastAsia" w:ascii="宋体" w:hAnsi="宋体" w:eastAsia="宋体" w:cs="宋体"/>
      <w:color w:val="000000"/>
      <w:sz w:val="21"/>
      <w:szCs w:val="21"/>
      <w:u w:val="none"/>
    </w:rPr>
  </w:style>
  <w:style w:type="character" w:customStyle="1" w:styleId="8">
    <w:name w:val="页眉 Char"/>
    <w:basedOn w:val="5"/>
    <w:link w:val="3"/>
    <w:qFormat/>
    <w:uiPriority w:val="0"/>
    <w:rPr>
      <w:rFonts w:asciiTheme="minorHAnsi" w:hAnsiTheme="minorHAnsi" w:eastAsiaTheme="minorEastAsia"/>
      <w:sz w:val="18"/>
      <w:szCs w:val="18"/>
    </w:rPr>
  </w:style>
  <w:style w:type="character" w:customStyle="1" w:styleId="9">
    <w:name w:val="页脚 Char"/>
    <w:basedOn w:val="5"/>
    <w:link w:val="2"/>
    <w:qFormat/>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1155</Words>
  <Characters>331</Characters>
  <Lines>2</Lines>
  <Paragraphs>2</Paragraphs>
  <TotalTime>184</TotalTime>
  <ScaleCrop>false</ScaleCrop>
  <LinksUpToDate>false</LinksUpToDate>
  <CharactersWithSpaces>1484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2021-10-13T01:09:00Z</dcterms:created>
  <dc:creator>Administrator</dc:creator>
  <cp:lastModifiedBy>Margaret</cp:lastModifiedBy>
  <dcterms:modified xsi:type="dcterms:W3CDTF">2022-02-21T03:45:25Z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4EF4B83C4D7C4AEB81A9C3DCB895485B</vt:lpwstr>
  </property>
</Properties>
</file>