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hint="eastAsia" w:ascii="楷体_GB2312" w:hAnsi="楷体_GB2312" w:eastAsia="楷体_GB2312" w:cs="楷体_GB2312"/>
          <w:b/>
          <w:bCs/>
          <w:color w:val="000000"/>
          <w:sz w:val="28"/>
          <w:szCs w:val="28"/>
        </w:rPr>
      </w:pPr>
      <w:r>
        <w:rPr>
          <w:rFonts w:hint="eastAsia" w:ascii="楷体_GB2312" w:hAnsi="楷体_GB2312" w:eastAsia="楷体_GB2312" w:cs="楷体_GB2312"/>
          <w:b/>
          <w:bCs/>
          <w:color w:val="000000"/>
          <w:sz w:val="28"/>
          <w:szCs w:val="28"/>
        </w:rPr>
        <w:t>附件2</w:t>
      </w:r>
    </w:p>
    <w:p>
      <w:pPr>
        <w:widowControl/>
        <w:spacing w:after="156" w:afterLines="50" w:line="360" w:lineRule="auto"/>
        <w:jc w:val="center"/>
        <w:rPr>
          <w:rFonts w:hint="eastAsia" w:ascii="黑体" w:hAnsi="黑体" w:eastAsia="黑体" w:cs="方正小标宋简体"/>
          <w:b w:val="0"/>
          <w:bCs/>
          <w:color w:val="000000"/>
          <w:sz w:val="36"/>
          <w:szCs w:val="36"/>
        </w:rPr>
      </w:pPr>
      <w:r>
        <w:rPr>
          <w:rFonts w:hint="default" w:ascii="黑体" w:hAnsi="黑体" w:eastAsia="黑体" w:cs="方正小标宋简体"/>
          <w:b w:val="0"/>
          <w:bCs/>
          <w:color w:val="000000"/>
          <w:sz w:val="36"/>
          <w:szCs w:val="36"/>
        </w:rPr>
        <w:t>《植物蛋白饮料多种植物源性成分快速检测 数字微流控芯片法》</w:t>
      </w:r>
      <w:r>
        <w:rPr>
          <w:rFonts w:hint="eastAsia" w:ascii="黑体" w:hAnsi="黑体" w:eastAsia="黑体" w:cs="方正小标宋简体"/>
          <w:b w:val="0"/>
          <w:bCs/>
          <w:color w:val="000000"/>
          <w:sz w:val="36"/>
          <w:szCs w:val="36"/>
        </w:rPr>
        <w:t>团体标准</w:t>
      </w:r>
      <w:r>
        <w:rPr>
          <w:rFonts w:hint="eastAsia" w:ascii="黑体" w:hAnsi="黑体" w:eastAsia="黑体" w:cs="方正小标宋简体"/>
          <w:b w:val="0"/>
          <w:bCs/>
          <w:color w:val="000000"/>
          <w:sz w:val="36"/>
          <w:szCs w:val="36"/>
          <w:lang w:eastAsia="zh-CN"/>
        </w:rPr>
        <w:t>（</w:t>
      </w:r>
      <w:r>
        <w:rPr>
          <w:rFonts w:hint="eastAsia" w:ascii="黑体" w:hAnsi="黑体" w:eastAsia="黑体" w:cs="方正小标宋简体"/>
          <w:b w:val="0"/>
          <w:bCs/>
          <w:color w:val="000000"/>
          <w:sz w:val="36"/>
          <w:szCs w:val="36"/>
          <w:lang w:val="en-US" w:eastAsia="zh-CN"/>
        </w:rPr>
        <w:t>征求意见稿</w:t>
      </w:r>
      <w:r>
        <w:rPr>
          <w:rFonts w:hint="eastAsia" w:ascii="黑体" w:hAnsi="黑体" w:eastAsia="黑体" w:cs="方正小标宋简体"/>
          <w:b w:val="0"/>
          <w:bCs/>
          <w:color w:val="000000"/>
          <w:sz w:val="36"/>
          <w:szCs w:val="36"/>
          <w:lang w:eastAsia="zh-CN"/>
        </w:rPr>
        <w:t>）</w:t>
      </w:r>
      <w:r>
        <w:rPr>
          <w:rFonts w:hint="eastAsia" w:ascii="黑体" w:hAnsi="黑体" w:eastAsia="黑体" w:cs="方正小标宋简体"/>
          <w:b w:val="0"/>
          <w:bCs/>
          <w:color w:val="000000"/>
          <w:sz w:val="36"/>
          <w:szCs w:val="36"/>
        </w:rPr>
        <w:t>编制说明</w:t>
      </w:r>
    </w:p>
    <w:tbl>
      <w:tblPr>
        <w:tblStyle w:val="6"/>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6" w:type="dxa"/>
            <w:noWrap w:val="0"/>
            <w:vAlign w:val="top"/>
          </w:tcPr>
          <w:p>
            <w:pPr>
              <w:rPr>
                <w:rFonts w:hint="default" w:ascii="Times New Roman" w:hAnsi="Times New Roman" w:cs="Times New Roman"/>
                <w:color w:val="000000"/>
              </w:rPr>
            </w:pPr>
          </w:p>
          <w:p>
            <w:pPr>
              <w:keepNext w:val="0"/>
              <w:keepLines w:val="0"/>
              <w:pageBreakBefore w:val="0"/>
              <w:numPr>
                <w:ilvl w:val="0"/>
                <w:numId w:val="1"/>
              </w:numPr>
              <w:kinsoku/>
              <w:wordWrap/>
              <w:overflowPunct/>
              <w:topLinePunct w:val="0"/>
              <w:bidi w:val="0"/>
              <w:spacing w:line="440" w:lineRule="exact"/>
              <w:rPr>
                <w:rFonts w:hint="default" w:ascii="Times New Roman" w:hAnsi="Times New Roman" w:eastAsia="黑体" w:cs="Times New Roman"/>
                <w:b/>
                <w:bCs/>
                <w:color w:val="000000"/>
                <w:sz w:val="21"/>
                <w:szCs w:val="21"/>
              </w:rPr>
            </w:pPr>
            <w:r>
              <w:rPr>
                <w:rFonts w:hint="default" w:ascii="Times New Roman" w:hAnsi="Times New Roman" w:eastAsia="黑体" w:cs="Times New Roman"/>
                <w:b/>
                <w:bCs/>
                <w:color w:val="000000"/>
                <w:sz w:val="21"/>
                <w:szCs w:val="21"/>
              </w:rPr>
              <w:t>任务来源及起草单位</w:t>
            </w:r>
          </w:p>
          <w:p>
            <w:pPr>
              <w:keepNext w:val="0"/>
              <w:keepLines w:val="0"/>
              <w:pageBreakBefore w:val="0"/>
              <w:numPr>
                <w:ilvl w:val="0"/>
                <w:numId w:val="2"/>
              </w:numPr>
              <w:kinsoku/>
              <w:wordWrap/>
              <w:overflowPunct/>
              <w:topLinePunct w:val="0"/>
              <w:bidi w:val="0"/>
              <w:spacing w:line="440" w:lineRule="exact"/>
              <w:rPr>
                <w:rFonts w:hint="default" w:ascii="Times New Roman" w:hAnsi="Times New Roman" w:eastAsia="楷体" w:cs="Times New Roman"/>
                <w:b/>
                <w:bCs/>
                <w:color w:val="000000"/>
                <w:sz w:val="21"/>
                <w:szCs w:val="21"/>
              </w:rPr>
            </w:pPr>
            <w:r>
              <w:rPr>
                <w:rFonts w:hint="default" w:ascii="Times New Roman" w:hAnsi="Times New Roman" w:eastAsia="楷体" w:cs="Times New Roman"/>
                <w:b/>
                <w:bCs/>
                <w:color w:val="000000"/>
                <w:sz w:val="21"/>
                <w:szCs w:val="21"/>
              </w:rPr>
              <w:t>任务来源</w:t>
            </w:r>
          </w:p>
          <w:p>
            <w:pPr>
              <w:pStyle w:val="9"/>
              <w:keepNext w:val="0"/>
              <w:keepLines w:val="0"/>
              <w:pageBreakBefore w:val="0"/>
              <w:tabs>
                <w:tab w:val="center" w:pos="4201"/>
                <w:tab w:val="right" w:leader="dot" w:pos="9298"/>
              </w:tabs>
              <w:kinsoku/>
              <w:wordWrap/>
              <w:overflowPunct/>
              <w:topLinePunct w:val="0"/>
              <w:bidi w:val="0"/>
              <w:spacing w:line="440" w:lineRule="exact"/>
              <w:ind w:firstLine="48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为贯彻落实2022年6月30日工业和信息化部等五部门《数字化助力消费品工业</w:t>
            </w:r>
            <w:r>
              <w:rPr>
                <w:rFonts w:hint="eastAsia" w:ascii="Times New Roman" w:cs="Times New Roman"/>
                <w:color w:val="000000"/>
                <w:sz w:val="21"/>
                <w:szCs w:val="21"/>
                <w:lang w:eastAsia="zh-CN"/>
              </w:rPr>
              <w:t>“</w:t>
            </w:r>
            <w:r>
              <w:rPr>
                <w:rFonts w:hint="default" w:ascii="Times New Roman" w:hAnsi="Times New Roman" w:eastAsia="宋体" w:cs="Times New Roman"/>
                <w:color w:val="000000"/>
                <w:sz w:val="21"/>
                <w:szCs w:val="21"/>
              </w:rPr>
              <w:t>三品</w:t>
            </w:r>
            <w:r>
              <w:rPr>
                <w:rFonts w:hint="eastAsia" w:ascii="Times New Roman" w:cs="Times New Roman"/>
                <w:color w:val="000000"/>
                <w:sz w:val="21"/>
                <w:szCs w:val="21"/>
                <w:lang w:eastAsia="zh-CN"/>
              </w:rPr>
              <w:t>”</w:t>
            </w:r>
            <w:r>
              <w:rPr>
                <w:rFonts w:hint="default" w:ascii="Times New Roman" w:hAnsi="Times New Roman" w:eastAsia="宋体" w:cs="Times New Roman"/>
                <w:color w:val="000000"/>
                <w:sz w:val="21"/>
                <w:szCs w:val="21"/>
              </w:rPr>
              <w:t>行动方案（2022-2025年）》，引导我省食品行业的高质量发展，根据《广东省食品行业协会团体标准管理办法（修订版）》的规定，由广东省食品行业协会质量专业委员会和广州市食品检验所共同提出广东省食品行业协会团体标准《植物蛋白饮料多种植物源性成分快速检测 数字微流控芯片法》，通过广东省食品工业标准化技术委员会秘书处立项审查和和征求意见，并批准立项。</w:t>
            </w:r>
          </w:p>
          <w:p>
            <w:pPr>
              <w:keepNext w:val="0"/>
              <w:keepLines w:val="0"/>
              <w:pageBreakBefore w:val="0"/>
              <w:numPr>
                <w:ilvl w:val="0"/>
                <w:numId w:val="2"/>
              </w:numPr>
              <w:kinsoku/>
              <w:wordWrap/>
              <w:overflowPunct/>
              <w:topLinePunct w:val="0"/>
              <w:bidi w:val="0"/>
              <w:spacing w:line="440" w:lineRule="exact"/>
              <w:rPr>
                <w:rFonts w:hint="default" w:ascii="Times New Roman" w:hAnsi="Times New Roman" w:eastAsia="楷体" w:cs="Times New Roman"/>
                <w:b/>
                <w:bCs/>
                <w:color w:val="000000"/>
                <w:sz w:val="21"/>
                <w:szCs w:val="21"/>
              </w:rPr>
            </w:pPr>
            <w:r>
              <w:rPr>
                <w:rFonts w:hint="default" w:ascii="Times New Roman" w:hAnsi="Times New Roman" w:eastAsia="楷体" w:cs="Times New Roman"/>
                <w:b/>
                <w:bCs/>
                <w:color w:val="000000"/>
                <w:sz w:val="21"/>
                <w:szCs w:val="21"/>
              </w:rPr>
              <w:t>起草单位及人员名单</w:t>
            </w:r>
          </w:p>
          <w:p>
            <w:pPr>
              <w:adjustRightInd/>
              <w:spacing w:line="360" w:lineRule="auto"/>
              <w:ind w:firstLine="420" w:firstLineChars="200"/>
              <w:jc w:val="left"/>
              <w:rPr>
                <w:rFonts w:hint="default" w:ascii="Times New Roman" w:hAnsi="Times New Roman" w:eastAsia="宋体" w:cs="Times New Roman"/>
                <w:lang w:eastAsia="zh-CN"/>
              </w:rPr>
            </w:pPr>
            <w:r>
              <w:rPr>
                <w:rFonts w:hint="default" w:ascii="Times New Roman" w:hAnsi="Times New Roman" w:eastAsia="宋体" w:cs="Times New Roman"/>
                <w:szCs w:val="24"/>
                <w:highlight w:val="none"/>
              </w:rPr>
              <w:t>本标准起草单位</w:t>
            </w:r>
            <w:r>
              <w:rPr>
                <w:rFonts w:hint="default" w:ascii="Times New Roman" w:hAnsi="Times New Roman" w:cs="Times New Roman"/>
                <w:szCs w:val="24"/>
                <w:highlight w:val="none"/>
                <w:lang w:val="en-US" w:eastAsia="zh-CN"/>
              </w:rPr>
              <w:t>为</w:t>
            </w:r>
            <w:r>
              <w:rPr>
                <w:rFonts w:hint="default" w:ascii="Times New Roman" w:hAnsi="Times New Roman" w:eastAsia="宋体" w:cs="Times New Roman"/>
                <w:szCs w:val="24"/>
                <w:highlight w:val="none"/>
              </w:rPr>
              <w:t>广东省食品行业协会质量专业委员会、广州市食品检验所、珠海市迪奇孚瑞生物科技有限公司、无限极（中国）有限公司、广州质量监督检测研究院、广东省食品检验所、广州海关技术中心、广东省粮食科学研究所、珠海市香洲区疾病预防控制中心、东莞市蜂乜保健食品有限公司。</w:t>
            </w:r>
            <w:r>
              <w:rPr>
                <w:rFonts w:hint="default" w:ascii="Times New Roman" w:hAnsi="Times New Roman" w:cs="Times New Roman"/>
                <w:szCs w:val="24"/>
                <w:highlight w:val="none"/>
                <w:lang w:val="en-US" w:eastAsia="zh-CN"/>
              </w:rPr>
              <w:t>各起草单位分别推荐从事标准化或《植物蛋白饮料多种植物源性成分快速检测-数字微流控芯片法》研发、生产、质量管理、验证的人员作为标准起草人，组成起草组，包括</w:t>
            </w:r>
            <w:r>
              <w:rPr>
                <w:rFonts w:hint="default" w:ascii="Times New Roman" w:hAnsi="Times New Roman" w:eastAsia="宋体" w:cs="Times New Roman"/>
                <w:szCs w:val="24"/>
                <w:highlight w:val="none"/>
              </w:rPr>
              <w:t>张俊修、肖剑、陈天蓝、黄延盛、梁美丹、陈荣桥、丁清龙、凌莉、郭超、彭程、刘耀军、冼钰茵、苏妙贞、胡均鹏、陆智、陈楷、林秀敏、寇秀颖、郑砚泽、曾初欢、汪良清</w:t>
            </w:r>
            <w:r>
              <w:rPr>
                <w:rFonts w:hint="eastAsia" w:ascii="Times New Roman" w:hAnsi="Times New Roman" w:cs="Times New Roman"/>
                <w:szCs w:val="24"/>
                <w:highlight w:val="none"/>
                <w:lang w:val="en-US" w:eastAsia="zh-CN"/>
              </w:rPr>
              <w:t>等</w:t>
            </w:r>
            <w:r>
              <w:rPr>
                <w:rFonts w:hint="default" w:ascii="Times New Roman" w:hAnsi="Times New Roman" w:cs="Times New Roman"/>
                <w:szCs w:val="24"/>
                <w:highlight w:val="none"/>
                <w:lang w:eastAsia="zh-CN"/>
              </w:rPr>
              <w:t>。</w:t>
            </w:r>
          </w:p>
          <w:p>
            <w:pPr>
              <w:keepNext w:val="0"/>
              <w:keepLines w:val="0"/>
              <w:pageBreakBefore w:val="0"/>
              <w:numPr>
                <w:ilvl w:val="0"/>
                <w:numId w:val="2"/>
              </w:numPr>
              <w:kinsoku/>
              <w:wordWrap/>
              <w:overflowPunct/>
              <w:topLinePunct w:val="0"/>
              <w:bidi w:val="0"/>
              <w:spacing w:line="440" w:lineRule="exact"/>
              <w:rPr>
                <w:rFonts w:hint="default" w:ascii="Times New Roman" w:hAnsi="Times New Roman" w:eastAsia="楷体" w:cs="Times New Roman"/>
                <w:b/>
                <w:bCs/>
                <w:color w:val="000000"/>
                <w:sz w:val="21"/>
                <w:szCs w:val="21"/>
              </w:rPr>
            </w:pPr>
            <w:r>
              <w:rPr>
                <w:rFonts w:hint="default" w:ascii="Times New Roman" w:hAnsi="Times New Roman" w:eastAsia="楷体" w:cs="Times New Roman"/>
                <w:b/>
                <w:bCs/>
                <w:color w:val="000000"/>
                <w:sz w:val="21"/>
                <w:szCs w:val="21"/>
              </w:rPr>
              <w:t>起草组分工</w:t>
            </w:r>
          </w:p>
          <w:p>
            <w:pPr>
              <w:keepNext w:val="0"/>
              <w:keepLines w:val="0"/>
              <w:pageBreakBefore w:val="0"/>
              <w:kinsoku/>
              <w:wordWrap/>
              <w:overflowPunct/>
              <w:topLinePunct w:val="0"/>
              <w:bidi w:val="0"/>
              <w:spacing w:line="440" w:lineRule="exact"/>
              <w:ind w:firstLine="420" w:firstLineChars="200"/>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eastAsia="宋体" w:cs="Times New Roman"/>
                <w:color w:val="000000"/>
                <w:sz w:val="21"/>
                <w:szCs w:val="21"/>
              </w:rPr>
              <w:t>张俊修为名誉组长</w:t>
            </w:r>
            <w:r>
              <w:rPr>
                <w:rFonts w:hint="eastAsia"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肖剑为执行组长</w:t>
            </w:r>
            <w:r>
              <w:rPr>
                <w:rFonts w:hint="eastAsia"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负责统筹、设计</w:t>
            </w:r>
            <w:r>
              <w:rPr>
                <w:rFonts w:hint="default" w:ascii="Times New Roman" w:hAnsi="Times New Roman" w:cs="Times New Roman"/>
                <w:color w:val="000000"/>
                <w:sz w:val="21"/>
                <w:szCs w:val="21"/>
                <w:lang w:eastAsia="zh-CN"/>
              </w:rPr>
              <w:t>、</w:t>
            </w:r>
            <w:r>
              <w:rPr>
                <w:rFonts w:hint="default" w:ascii="Times New Roman" w:hAnsi="Times New Roman" w:cs="Times New Roman"/>
                <w:color w:val="000000"/>
                <w:sz w:val="21"/>
                <w:szCs w:val="21"/>
                <w:lang w:val="en-US" w:eastAsia="zh-CN"/>
              </w:rPr>
              <w:t>起草、审核</w:t>
            </w:r>
            <w:r>
              <w:rPr>
                <w:rFonts w:hint="default" w:ascii="Times New Roman" w:hAnsi="Times New Roman" w:eastAsia="宋体" w:cs="Times New Roman"/>
                <w:color w:val="000000"/>
                <w:sz w:val="21"/>
                <w:szCs w:val="21"/>
                <w:highlight w:val="none"/>
              </w:rPr>
              <w:t>，</w:t>
            </w:r>
            <w:r>
              <w:rPr>
                <w:rFonts w:hint="default" w:ascii="Times New Roman" w:hAnsi="Times New Roman" w:cs="Times New Roman"/>
                <w:color w:val="000000"/>
                <w:sz w:val="21"/>
                <w:szCs w:val="21"/>
                <w:highlight w:val="none"/>
                <w:lang w:val="en-US" w:eastAsia="zh-CN"/>
              </w:rPr>
              <w:t>其他人员</w:t>
            </w:r>
            <w:r>
              <w:rPr>
                <w:rFonts w:hint="default" w:ascii="Times New Roman" w:hAnsi="Times New Roman" w:eastAsia="宋体" w:cs="Times New Roman"/>
                <w:color w:val="000000"/>
                <w:sz w:val="21"/>
                <w:szCs w:val="21"/>
              </w:rPr>
              <w:t>负责</w:t>
            </w:r>
            <w:r>
              <w:rPr>
                <w:rFonts w:hint="default" w:ascii="Times New Roman" w:hAnsi="Times New Roman" w:cs="Times New Roman"/>
                <w:color w:val="000000"/>
                <w:sz w:val="21"/>
                <w:szCs w:val="21"/>
                <w:lang w:eastAsia="zh-CN"/>
              </w:rPr>
              <w:t>协助</w:t>
            </w:r>
            <w:r>
              <w:rPr>
                <w:rFonts w:hint="default" w:ascii="Times New Roman" w:hAnsi="Times New Roman" w:eastAsia="宋体" w:cs="Times New Roman"/>
                <w:color w:val="000000"/>
                <w:sz w:val="21"/>
                <w:szCs w:val="21"/>
              </w:rPr>
              <w:t>收集有关资料，</w:t>
            </w:r>
            <w:r>
              <w:rPr>
                <w:rFonts w:hint="default" w:ascii="Times New Roman" w:hAnsi="Times New Roman" w:cs="Times New Roman"/>
                <w:color w:val="000000"/>
                <w:sz w:val="21"/>
                <w:szCs w:val="21"/>
                <w:lang w:eastAsia="zh-CN"/>
              </w:rPr>
              <w:t>配合产品试产和相关指标测试，</w:t>
            </w:r>
            <w:r>
              <w:rPr>
                <w:rFonts w:hint="default" w:ascii="Times New Roman" w:hAnsi="Times New Roman" w:cs="Times New Roman"/>
                <w:color w:val="000000"/>
                <w:sz w:val="21"/>
                <w:szCs w:val="21"/>
                <w:lang w:val="en-US" w:eastAsia="zh-CN"/>
              </w:rPr>
              <w:t>标准内容的修改，</w:t>
            </w:r>
            <w:r>
              <w:rPr>
                <w:rFonts w:hint="default" w:ascii="Times New Roman" w:hAnsi="Times New Roman" w:cs="Times New Roman"/>
                <w:color w:val="000000"/>
                <w:sz w:val="21"/>
                <w:szCs w:val="21"/>
                <w:lang w:eastAsia="zh-CN"/>
              </w:rPr>
              <w:t>参与</w:t>
            </w:r>
            <w:r>
              <w:rPr>
                <w:rFonts w:hint="default" w:ascii="Times New Roman" w:hAnsi="Times New Roman" w:eastAsia="宋体" w:cs="Times New Roman"/>
                <w:color w:val="000000"/>
                <w:sz w:val="21"/>
                <w:szCs w:val="21"/>
                <w:lang w:val="en-US" w:eastAsia="zh-CN"/>
              </w:rPr>
              <w:t>调研</w:t>
            </w:r>
            <w:r>
              <w:rPr>
                <w:rFonts w:hint="default" w:ascii="Times New Roman" w:hAnsi="Times New Roman" w:eastAsia="宋体" w:cs="Times New Roman"/>
                <w:color w:val="000000"/>
                <w:sz w:val="21"/>
                <w:szCs w:val="21"/>
              </w:rPr>
              <w:t>并进行讨论，集合各方意见</w:t>
            </w:r>
            <w:r>
              <w:rPr>
                <w:rFonts w:hint="default" w:ascii="Times New Roman" w:hAnsi="Times New Roman" w:cs="Times New Roman"/>
                <w:color w:val="000000"/>
                <w:sz w:val="21"/>
                <w:szCs w:val="21"/>
                <w:lang w:eastAsia="zh-CN"/>
              </w:rPr>
              <w:t>等工作</w:t>
            </w:r>
            <w:r>
              <w:rPr>
                <w:rFonts w:hint="default" w:ascii="Times New Roman" w:hAnsi="Times New Roman" w:eastAsia="宋体" w:cs="Times New Roman"/>
                <w:color w:val="000000"/>
                <w:sz w:val="21"/>
                <w:szCs w:val="21"/>
              </w:rPr>
              <w:t>。</w:t>
            </w:r>
          </w:p>
          <w:p>
            <w:pPr>
              <w:keepNext w:val="0"/>
              <w:keepLines w:val="0"/>
              <w:pageBreakBefore w:val="0"/>
              <w:numPr>
                <w:ilvl w:val="0"/>
                <w:numId w:val="2"/>
              </w:numPr>
              <w:kinsoku/>
              <w:wordWrap/>
              <w:overflowPunct/>
              <w:topLinePunct w:val="0"/>
              <w:bidi w:val="0"/>
              <w:spacing w:line="440" w:lineRule="exact"/>
              <w:rPr>
                <w:rFonts w:hint="default" w:ascii="Times New Roman" w:hAnsi="Times New Roman" w:eastAsia="楷体" w:cs="Times New Roman"/>
                <w:b/>
                <w:bCs/>
                <w:color w:val="000000"/>
                <w:sz w:val="21"/>
                <w:szCs w:val="21"/>
              </w:rPr>
            </w:pPr>
            <w:r>
              <w:rPr>
                <w:rFonts w:hint="default" w:ascii="Times New Roman" w:hAnsi="Times New Roman" w:eastAsia="楷体" w:cs="Times New Roman"/>
                <w:b/>
                <w:bCs/>
                <w:color w:val="000000"/>
                <w:sz w:val="21"/>
                <w:szCs w:val="21"/>
              </w:rPr>
              <w:t>其他需要说明的问题</w:t>
            </w:r>
            <w:bookmarkStart w:id="1" w:name="_GoBack"/>
            <w:bookmarkEnd w:id="1"/>
          </w:p>
          <w:p>
            <w:pPr>
              <w:keepNext w:val="0"/>
              <w:keepLines w:val="0"/>
              <w:pageBreakBefore w:val="0"/>
              <w:kinsoku/>
              <w:wordWrap/>
              <w:overflowPunct/>
              <w:topLinePunct w:val="0"/>
              <w:bidi w:val="0"/>
              <w:spacing w:line="440" w:lineRule="exact"/>
              <w:ind w:firstLine="420" w:firstLineChars="20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无</w:t>
            </w:r>
          </w:p>
          <w:p>
            <w:pPr>
              <w:keepNext w:val="0"/>
              <w:keepLines w:val="0"/>
              <w:pageBreakBefore w:val="0"/>
              <w:numPr>
                <w:ilvl w:val="0"/>
                <w:numId w:val="1"/>
              </w:numPr>
              <w:kinsoku/>
              <w:wordWrap/>
              <w:overflowPunct/>
              <w:topLinePunct w:val="0"/>
              <w:bidi w:val="0"/>
              <w:spacing w:line="440" w:lineRule="exact"/>
              <w:rPr>
                <w:rFonts w:hint="default" w:ascii="Times New Roman" w:hAnsi="Times New Roman" w:eastAsia="黑体" w:cs="Times New Roman"/>
                <w:b/>
                <w:bCs/>
                <w:color w:val="000000"/>
                <w:sz w:val="21"/>
                <w:szCs w:val="21"/>
              </w:rPr>
            </w:pPr>
            <w:r>
              <w:rPr>
                <w:rFonts w:hint="default" w:ascii="Times New Roman" w:hAnsi="Times New Roman" w:eastAsia="黑体" w:cs="Times New Roman"/>
                <w:b/>
                <w:bCs/>
                <w:color w:val="000000"/>
                <w:sz w:val="21"/>
                <w:szCs w:val="21"/>
              </w:rPr>
              <w:t>标准制订的目的和意义</w:t>
            </w:r>
          </w:p>
          <w:p>
            <w:pPr>
              <w:adjustRightInd/>
              <w:spacing w:line="360" w:lineRule="auto"/>
              <w:ind w:firstLine="420" w:firstLineChars="200"/>
              <w:jc w:val="left"/>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植物蛋白饮料是以植物果仁、果肉及大豆为原料（如大豆、花生、杏仁、核桃仁、椰子等），经加工、调配后，再经高压杀菌或无菌包装制得的乳状饮料，其具有不含或含较少的胆固醇，富含蛋白质、氨基酸及适量的不饱和脂肪酸，营养成分较全等特点，深受消费者欢迎，已经成为饮料市场上不可或缺的产品。根据统计数据显示，2007年以来各饮料子行业增速最快的是植物蛋白饮料，2016年植物蛋白饮料行业收入为1217.2亿元，2016年至2020年，逐渐趋于稳定趋势。根据中研普华研究院《</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"https://www.chinairn.com/report/20220711/113802396.html?id=1842112&amp;name=yangxianyu" \t "https://www.chinairn.com/hyzx/20220711/_blank" </w:instrText>
            </w:r>
            <w:r>
              <w:rPr>
                <w:rFonts w:hint="default" w:ascii="Times New Roman" w:hAnsi="Times New Roman" w:cs="Times New Roman"/>
                <w:highlight w:val="none"/>
              </w:rPr>
              <w:fldChar w:fldCharType="separate"/>
            </w:r>
            <w:r>
              <w:rPr>
                <w:rFonts w:hint="default" w:ascii="Times New Roman" w:hAnsi="Times New Roman" w:eastAsia="宋体" w:cs="Times New Roman"/>
                <w:szCs w:val="24"/>
                <w:highlight w:val="none"/>
              </w:rPr>
              <w:t>2022-2027年中国植物蛋白饮料行业市场全景调研及投资价值评估研究报告</w:t>
            </w:r>
            <w:r>
              <w:rPr>
                <w:rFonts w:hint="default" w:ascii="Times New Roman" w:hAnsi="Times New Roman" w:eastAsia="宋体" w:cs="Times New Roman"/>
                <w:szCs w:val="24"/>
                <w:highlight w:val="none"/>
              </w:rPr>
              <w:fldChar w:fldCharType="end"/>
            </w:r>
            <w:r>
              <w:rPr>
                <w:rFonts w:hint="default" w:ascii="Times New Roman" w:hAnsi="Times New Roman" w:eastAsia="宋体" w:cs="Times New Roman"/>
                <w:szCs w:val="24"/>
                <w:highlight w:val="none"/>
              </w:rPr>
              <w:t>》分析，未来核桃乳、燕麦乳等功能性植物蛋白饮料反响热烈，将健康等内容注入现代消费人群的消费观念和生活方式中，我国植物蛋白饮料市场有望焕发新的活力。但随着植物蛋白质饮料原料价格的上涨，部分生产企业为了降低生产成本，在饮料中掺入廉价的植物蛋白粉，或者掺入成本低廉的非产品标识的植物原料，如央视在2018年3·15晚会中，曝光了多家企业在生产核桃露时没有使用核桃浆，而使用成本远远低于核桃浆的花生酱或核桃香精代替，上述行为严重扰乱社会市场秩序，损害消费者的合法权益。目前，植物蛋白饮料市场掺杂使假情况比较严重，群众关注度高，有研究表明，市场上35%蛋白质饮料标识的植物源性成分未检出，存在与产品标识成分及含量严重不相符的情况。</w:t>
            </w:r>
          </w:p>
          <w:p>
            <w:pPr>
              <w:adjustRightInd/>
              <w:spacing w:line="360" w:lineRule="auto"/>
              <w:ind w:firstLine="420" w:firstLineChars="200"/>
              <w:jc w:val="left"/>
              <w:rPr>
                <w:rFonts w:hint="default" w:ascii="Times New Roman" w:hAnsi="Times New Roman" w:cs="Times New Roman"/>
                <w:color w:val="000000"/>
                <w:sz w:val="24"/>
                <w:szCs w:val="24"/>
              </w:rPr>
            </w:pPr>
            <w:r>
              <w:rPr>
                <w:rFonts w:hint="default" w:ascii="Times New Roman" w:hAnsi="Times New Roman" w:eastAsia="宋体" w:cs="Times New Roman"/>
                <w:szCs w:val="24"/>
                <w:highlight w:val="none"/>
              </w:rPr>
              <w:t>因此，鉴于目前对植物蛋白饮料中</w:t>
            </w:r>
            <w:r>
              <w:rPr>
                <w:rFonts w:hint="default" w:ascii="Times New Roman" w:hAnsi="Times New Roman" w:eastAsia="宋体" w:cs="Times New Roman"/>
                <w:szCs w:val="24"/>
                <w:highlight w:val="none"/>
                <w:lang w:val="en-US" w:eastAsia="zh-CN"/>
              </w:rPr>
              <w:t>植物</w:t>
            </w:r>
            <w:r>
              <w:rPr>
                <w:rFonts w:hint="default" w:ascii="Times New Roman" w:hAnsi="Times New Roman" w:eastAsia="宋体" w:cs="Times New Roman"/>
                <w:szCs w:val="24"/>
                <w:highlight w:val="none"/>
              </w:rPr>
              <w:t>源性成分检测无国家标准方法，相关参考方法检验效率较低，不能实现同时对植物蛋白饮料中多种源性成分进行高通量快速鉴别，监管部门不能准确、快速认定产品是否具有掺假行为，给人民生活质量和安全带来不稳定的因素，当前非常迫切建立一个针对植物蛋白饮料多种植物源性成分鉴定的高通量检测技术标准方法，便于行政监督管理，保障消费者利益。</w:t>
            </w:r>
          </w:p>
          <w:p>
            <w:pPr>
              <w:keepNext w:val="0"/>
              <w:keepLines w:val="0"/>
              <w:pageBreakBefore w:val="0"/>
              <w:numPr>
                <w:ilvl w:val="0"/>
                <w:numId w:val="1"/>
              </w:numPr>
              <w:kinsoku/>
              <w:wordWrap/>
              <w:overflowPunct/>
              <w:topLinePunct w:val="0"/>
              <w:bidi w:val="0"/>
              <w:spacing w:line="440" w:lineRule="exact"/>
              <w:rPr>
                <w:rFonts w:hint="default" w:ascii="Times New Roman" w:hAnsi="Times New Roman" w:eastAsia="黑体" w:cs="Times New Roman"/>
                <w:b/>
                <w:bCs/>
                <w:color w:val="000000"/>
                <w:sz w:val="21"/>
                <w:szCs w:val="21"/>
              </w:rPr>
            </w:pPr>
            <w:r>
              <w:rPr>
                <w:rFonts w:hint="default" w:ascii="Times New Roman" w:hAnsi="Times New Roman" w:eastAsia="黑体" w:cs="Times New Roman"/>
                <w:b/>
                <w:bCs/>
                <w:color w:val="000000"/>
                <w:sz w:val="21"/>
                <w:szCs w:val="21"/>
              </w:rPr>
              <w:t>编制过程</w:t>
            </w:r>
          </w:p>
          <w:p>
            <w:pPr>
              <w:pStyle w:val="2"/>
              <w:keepNext w:val="0"/>
              <w:keepLines w:val="0"/>
              <w:pageBreakBefore w:val="0"/>
              <w:kinsoku/>
              <w:wordWrap/>
              <w:overflowPunct/>
              <w:topLinePunct w:val="0"/>
              <w:bidi w:val="0"/>
              <w:spacing w:after="0" w:line="440" w:lineRule="exact"/>
              <w:rPr>
                <w:rFonts w:hint="default" w:ascii="Times New Roman" w:hAnsi="Times New Roman" w:eastAsia="宋体" w:cs="Times New Roman"/>
                <w:color w:val="000000"/>
                <w:sz w:val="21"/>
                <w:szCs w:val="21"/>
                <w:highlight w:val="none"/>
              </w:rPr>
            </w:pPr>
            <w:r>
              <w:rPr>
                <w:rFonts w:hint="default" w:ascii="Times New Roman" w:hAnsi="Times New Roman" w:eastAsia="楷体" w:cs="Times New Roman"/>
                <w:b/>
                <w:bCs/>
                <w:color w:val="000000"/>
                <w:sz w:val="21"/>
                <w:szCs w:val="21"/>
                <w:highlight w:val="none"/>
                <w:lang w:val="en-US" w:eastAsia="zh-CN"/>
              </w:rPr>
              <w:t>（一）</w:t>
            </w:r>
            <w:r>
              <w:rPr>
                <w:rFonts w:hint="default" w:ascii="Times New Roman" w:hAnsi="Times New Roman" w:eastAsia="楷体" w:cs="Times New Roman"/>
                <w:b/>
                <w:bCs/>
                <w:color w:val="000000"/>
                <w:sz w:val="21"/>
                <w:szCs w:val="21"/>
                <w:highlight w:val="none"/>
                <w:lang w:val="en-US" w:eastAsia="zh-Hans"/>
              </w:rPr>
              <w:t>起草阶段</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22" w:firstLineChars="200"/>
              <w:textAlignment w:val="auto"/>
              <w:rPr>
                <w:rFonts w:hint="default" w:ascii="Times New Roman" w:hAnsi="Times New Roman" w:cs="Times New Roman"/>
                <w:b/>
                <w:bCs/>
                <w:color w:val="000000"/>
                <w:sz w:val="21"/>
                <w:szCs w:val="21"/>
                <w:highlight w:val="none"/>
                <w:lang w:val="en-US" w:eastAsia="zh-CN"/>
              </w:rPr>
            </w:pPr>
            <w:r>
              <w:rPr>
                <w:rFonts w:hint="eastAsia" w:ascii="Times New Roman" w:hAnsi="Times New Roman" w:cs="Times New Roman"/>
                <w:b/>
                <w:bCs/>
                <w:color w:val="000000"/>
                <w:sz w:val="21"/>
                <w:szCs w:val="21"/>
                <w:highlight w:val="none"/>
                <w:lang w:val="en-US" w:eastAsia="zh-CN"/>
              </w:rPr>
              <w:t>1</w:t>
            </w:r>
            <w:r>
              <w:rPr>
                <w:rFonts w:hint="default" w:ascii="Times New Roman" w:hAnsi="Times New Roman" w:cs="Times New Roman"/>
                <w:b/>
                <w:bCs/>
                <w:color w:val="000000"/>
                <w:sz w:val="21"/>
                <w:szCs w:val="21"/>
                <w:highlight w:val="none"/>
                <w:lang w:val="en-US" w:eastAsia="zh-CN"/>
              </w:rPr>
              <w:t>.</w:t>
            </w:r>
            <w:r>
              <w:rPr>
                <w:rFonts w:hint="default" w:ascii="Times New Roman" w:hAnsi="Times New Roman" w:cs="Times New Roman"/>
                <w:b/>
                <w:bCs/>
                <w:color w:val="000000"/>
                <w:sz w:val="21"/>
                <w:szCs w:val="21"/>
                <w:highlight w:val="none"/>
                <w:lang w:eastAsia="zh-CN"/>
              </w:rPr>
              <w:t>标准立项。</w:t>
            </w:r>
            <w:r>
              <w:rPr>
                <w:rFonts w:hint="default" w:ascii="Times New Roman" w:hAnsi="Times New Roman" w:eastAsia="宋体" w:cs="Times New Roman"/>
                <w:color w:val="000000"/>
                <w:sz w:val="21"/>
                <w:szCs w:val="21"/>
                <w:highlight w:val="none"/>
                <w:lang w:val="en-US" w:eastAsia="zh-CN"/>
              </w:rPr>
              <w:t>2022年</w:t>
            </w:r>
            <w:r>
              <w:rPr>
                <w:rFonts w:hint="default" w:ascii="Times New Roman" w:hAnsi="Times New Roman" w:cs="Times New Roman"/>
                <w:color w:val="000000"/>
                <w:sz w:val="21"/>
                <w:szCs w:val="21"/>
                <w:highlight w:val="none"/>
                <w:lang w:val="en-US" w:eastAsia="zh-CN"/>
              </w:rPr>
              <w:t>8</w:t>
            </w:r>
            <w:r>
              <w:rPr>
                <w:rFonts w:hint="default" w:ascii="Times New Roman" w:hAnsi="Times New Roman" w:eastAsia="宋体" w:cs="Times New Roman"/>
                <w:color w:val="000000"/>
                <w:sz w:val="21"/>
                <w:szCs w:val="21"/>
                <w:highlight w:val="none"/>
                <w:lang w:val="en-US" w:eastAsia="zh-CN"/>
              </w:rPr>
              <w:t>月</w:t>
            </w:r>
            <w:r>
              <w:rPr>
                <w:rFonts w:hint="eastAsia" w:ascii="Times New Roman" w:hAnsi="Times New Roman" w:cs="Times New Roman"/>
                <w:color w:val="000000"/>
                <w:sz w:val="21"/>
                <w:szCs w:val="21"/>
                <w:highlight w:val="none"/>
                <w:lang w:val="en-US" w:eastAsia="zh-CN"/>
              </w:rPr>
              <w:t>11日-8月31日</w:t>
            </w:r>
            <w:r>
              <w:rPr>
                <w:rFonts w:hint="default" w:ascii="Times New Roman" w:hAnsi="Times New Roman" w:eastAsia="宋体" w:cs="Times New Roman"/>
                <w:color w:val="000000"/>
                <w:sz w:val="21"/>
                <w:szCs w:val="21"/>
                <w:highlight w:val="none"/>
                <w:lang w:val="en-US" w:eastAsia="zh-CN"/>
              </w:rPr>
              <w:t>，</w:t>
            </w:r>
            <w:r>
              <w:rPr>
                <w:rFonts w:hint="eastAsia" w:ascii="宋体" w:hAnsi="宋体" w:eastAsia="宋体" w:cs="宋体"/>
                <w:color w:val="000000"/>
                <w:sz w:val="21"/>
                <w:szCs w:val="21"/>
                <w:highlight w:val="none"/>
              </w:rPr>
              <w:t>按照《广东省食品行业协会团体标准管理办法（修订版）》要求和相关程序，经广东省食品工业标准化技术委员会秘书处进行了立项审查、公示，确认符合立项条件，</w:t>
            </w:r>
            <w:r>
              <w:rPr>
                <w:rFonts w:hint="eastAsia" w:ascii="宋体" w:hAnsi="宋体" w:cs="宋体"/>
                <w:color w:val="000000"/>
                <w:sz w:val="21"/>
                <w:szCs w:val="21"/>
                <w:highlight w:val="none"/>
                <w:lang w:val="en-US" w:eastAsia="zh-CN"/>
              </w:rPr>
              <w:t>并于</w:t>
            </w:r>
            <w:r>
              <w:rPr>
                <w:rFonts w:hint="eastAsia" w:ascii="Times New Roman" w:hAnsi="Times New Roman" w:cs="Times New Roman"/>
                <w:color w:val="000000"/>
                <w:sz w:val="21"/>
                <w:szCs w:val="21"/>
                <w:highlight w:val="none"/>
                <w:lang w:val="en-US" w:eastAsia="zh-CN"/>
              </w:rPr>
              <w:t>8月31日批准立项。</w:t>
            </w:r>
            <w:r>
              <w:rPr>
                <w:rFonts w:hint="eastAsia" w:ascii="宋体" w:hAnsi="宋体" w:eastAsia="宋体" w:cs="宋体"/>
                <w:color w:val="000000"/>
                <w:sz w:val="21"/>
                <w:szCs w:val="21"/>
                <w:highlight w:val="none"/>
              </w:rPr>
              <w:t>确定参加标准起草的工作组成员及专家，标准研制工作正式启动。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color w:val="000000"/>
                <w:kern w:val="2"/>
                <w:sz w:val="21"/>
                <w:szCs w:val="21"/>
                <w:highlight w:val="none"/>
                <w:lang w:val="en-US" w:eastAsia="zh-CN" w:bidi="ar"/>
              </w:rPr>
            </w:pPr>
            <w:r>
              <w:rPr>
                <w:rFonts w:hint="eastAsia" w:ascii="Times New Roman" w:hAnsi="Times New Roman" w:cs="Times New Roman"/>
                <w:b/>
                <w:bCs/>
                <w:color w:val="000000"/>
                <w:sz w:val="21"/>
                <w:szCs w:val="21"/>
                <w:highlight w:val="none"/>
                <w:lang w:val="en-US" w:eastAsia="zh-CN"/>
              </w:rPr>
              <w:t>2</w:t>
            </w:r>
            <w:r>
              <w:rPr>
                <w:rFonts w:hint="default" w:ascii="Times New Roman" w:hAnsi="Times New Roman" w:cs="Times New Roman"/>
                <w:b/>
                <w:bCs/>
                <w:color w:val="000000"/>
                <w:sz w:val="21"/>
                <w:szCs w:val="21"/>
                <w:highlight w:val="none"/>
                <w:lang w:val="en-US" w:eastAsia="zh-CN"/>
              </w:rPr>
              <w:t>.</w:t>
            </w:r>
            <w:r>
              <w:rPr>
                <w:rFonts w:hint="default" w:ascii="Times New Roman" w:hAnsi="Times New Roman" w:cs="Times New Roman"/>
                <w:b/>
                <w:bCs/>
                <w:color w:val="000000"/>
                <w:sz w:val="21"/>
                <w:szCs w:val="21"/>
                <w:highlight w:val="none"/>
                <w:lang w:eastAsia="zh-CN"/>
              </w:rPr>
              <w:t>资料收集。</w:t>
            </w:r>
            <w:r>
              <w:rPr>
                <w:rFonts w:hint="default" w:ascii="Times New Roman" w:hAnsi="Times New Roman" w:eastAsia="宋体" w:cs="Times New Roman"/>
                <w:color w:val="000000"/>
                <w:sz w:val="21"/>
                <w:szCs w:val="21"/>
                <w:highlight w:val="none"/>
              </w:rPr>
              <w:t>202</w:t>
            </w:r>
            <w:r>
              <w:rPr>
                <w:rFonts w:hint="eastAsia" w:ascii="Times New Roman" w:hAnsi="Times New Roman" w:cs="Times New Roman"/>
                <w:color w:val="000000"/>
                <w:sz w:val="21"/>
                <w:szCs w:val="21"/>
                <w:highlight w:val="none"/>
                <w:lang w:val="en-US" w:eastAsia="zh-CN"/>
              </w:rPr>
              <w:t>2</w:t>
            </w:r>
            <w:r>
              <w:rPr>
                <w:rFonts w:hint="default" w:ascii="Times New Roman" w:hAnsi="Times New Roman" w:eastAsia="宋体" w:cs="Times New Roman"/>
                <w:color w:val="000000"/>
                <w:sz w:val="21"/>
                <w:szCs w:val="21"/>
                <w:highlight w:val="none"/>
              </w:rPr>
              <w:t>年</w:t>
            </w:r>
            <w:r>
              <w:rPr>
                <w:rFonts w:hint="eastAsia" w:ascii="Times New Roman" w:hAnsi="Times New Roman" w:cs="Times New Roman"/>
                <w:color w:val="000000"/>
                <w:sz w:val="21"/>
                <w:szCs w:val="21"/>
                <w:highlight w:val="none"/>
                <w:lang w:val="en-US" w:eastAsia="zh-CN"/>
              </w:rPr>
              <w:t>8</w:t>
            </w:r>
            <w:r>
              <w:rPr>
                <w:rFonts w:hint="default" w:ascii="Times New Roman" w:hAnsi="Times New Roman" w:eastAsia="宋体" w:cs="Times New Roman"/>
                <w:color w:val="000000"/>
                <w:sz w:val="21"/>
                <w:szCs w:val="21"/>
                <w:highlight w:val="none"/>
              </w:rPr>
              <w:t>月</w:t>
            </w:r>
            <w:r>
              <w:rPr>
                <w:rFonts w:hint="eastAsia" w:ascii="Times New Roman" w:hAnsi="Times New Roman" w:cs="Times New Roman"/>
                <w:color w:val="000000"/>
                <w:sz w:val="21"/>
                <w:szCs w:val="21"/>
                <w:highlight w:val="none"/>
                <w:lang w:val="en-US" w:eastAsia="zh-CN"/>
              </w:rPr>
              <w:t>12日-8月20日</w:t>
            </w:r>
            <w:r>
              <w:rPr>
                <w:rFonts w:hint="eastAsia" w:ascii="Times New Roman" w:hAnsi="Times New Roman" w:cs="Times New Roman"/>
                <w:color w:val="000000"/>
                <w:sz w:val="21"/>
                <w:szCs w:val="21"/>
                <w:highlight w:val="none"/>
                <w:lang w:eastAsia="zh-CN"/>
              </w:rPr>
              <w:t>，</w:t>
            </w:r>
            <w:r>
              <w:rPr>
                <w:rFonts w:hint="default" w:ascii="Times New Roman" w:hAnsi="Times New Roman" w:eastAsia="宋体" w:cs="Times New Roman"/>
                <w:color w:val="000000"/>
                <w:kern w:val="2"/>
                <w:sz w:val="21"/>
                <w:szCs w:val="21"/>
                <w:highlight w:val="none"/>
                <w:lang w:val="en-US" w:eastAsia="zh-CN" w:bidi="ar"/>
              </w:rPr>
              <w:t>标准起草</w:t>
            </w:r>
            <w:r>
              <w:rPr>
                <w:rFonts w:hint="eastAsia" w:ascii="Times New Roman" w:hAnsi="Times New Roman" w:cs="Times New Roman"/>
                <w:color w:val="000000"/>
                <w:kern w:val="2"/>
                <w:sz w:val="21"/>
                <w:szCs w:val="21"/>
                <w:highlight w:val="none"/>
                <w:lang w:val="en-US" w:eastAsia="zh-CN" w:bidi="ar"/>
              </w:rPr>
              <w:t>组</w:t>
            </w:r>
            <w:r>
              <w:rPr>
                <w:rFonts w:hint="default" w:ascii="Times New Roman" w:hAnsi="Times New Roman" w:eastAsia="宋体" w:cs="Times New Roman"/>
                <w:color w:val="000000"/>
                <w:kern w:val="2"/>
                <w:sz w:val="21"/>
                <w:szCs w:val="21"/>
                <w:highlight w:val="none"/>
                <w:lang w:val="en-US" w:eastAsia="zh-CN" w:bidi="ar"/>
              </w:rPr>
              <w:t>首先收集相关标准、法规等文献资料，掌握了有关标准现状；并对我国现有</w:t>
            </w:r>
            <w:r>
              <w:rPr>
                <w:rFonts w:hint="default" w:ascii="Times New Roman" w:hAnsi="Times New Roman" w:cs="Times New Roman"/>
                <w:color w:val="000000"/>
                <w:kern w:val="2"/>
                <w:sz w:val="21"/>
                <w:szCs w:val="21"/>
                <w:highlight w:val="none"/>
                <w:lang w:val="en-US" w:eastAsia="zh-CN" w:bidi="ar"/>
              </w:rPr>
              <w:t>检测</w:t>
            </w:r>
            <w:r>
              <w:rPr>
                <w:rFonts w:hint="default" w:ascii="Times New Roman" w:hAnsi="Times New Roman" w:eastAsia="宋体" w:cs="Times New Roman"/>
                <w:color w:val="000000"/>
                <w:kern w:val="2"/>
                <w:sz w:val="21"/>
                <w:szCs w:val="21"/>
                <w:highlight w:val="none"/>
                <w:lang w:val="en-US" w:eastAsia="zh-CN" w:bidi="ar"/>
              </w:rPr>
              <w:t>相关标准中的术语、指标等技术内容进行了归纳和总结，为标准文本的编制奠定理论基础。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val="0"/>
                <w:bCs w:val="0"/>
                <w:color w:val="000000"/>
                <w:sz w:val="21"/>
                <w:szCs w:val="21"/>
                <w:highlight w:val="none"/>
                <w:lang w:val="en-US" w:eastAsia="zh-CN"/>
              </w:rPr>
            </w:pPr>
            <w:r>
              <w:rPr>
                <w:rFonts w:hint="eastAsia" w:ascii="Times New Roman" w:hAnsi="Times New Roman" w:cs="Times New Roman"/>
                <w:b/>
                <w:bCs/>
                <w:color w:val="000000"/>
                <w:sz w:val="21"/>
                <w:szCs w:val="21"/>
                <w:highlight w:val="none"/>
                <w:lang w:val="en-US" w:eastAsia="zh-CN"/>
              </w:rPr>
              <w:t>3</w:t>
            </w:r>
            <w:r>
              <w:rPr>
                <w:rFonts w:hint="default" w:ascii="Times New Roman" w:hAnsi="Times New Roman" w:cs="Times New Roman"/>
                <w:b/>
                <w:bCs/>
                <w:color w:val="000000"/>
                <w:sz w:val="21"/>
                <w:szCs w:val="21"/>
                <w:highlight w:val="none"/>
                <w:lang w:val="en-US" w:eastAsia="zh-CN"/>
              </w:rPr>
              <w:t>.</w:t>
            </w:r>
            <w:r>
              <w:rPr>
                <w:rFonts w:hint="eastAsia" w:ascii="Times New Roman" w:hAnsi="Times New Roman" w:cs="Times New Roman"/>
                <w:b/>
                <w:bCs/>
                <w:color w:val="000000"/>
                <w:sz w:val="21"/>
                <w:szCs w:val="21"/>
                <w:highlight w:val="none"/>
                <w:lang w:val="en-US" w:eastAsia="zh-CN"/>
              </w:rPr>
              <w:t>标准方法技术确认及方法</w:t>
            </w:r>
            <w:r>
              <w:rPr>
                <w:rFonts w:hint="default" w:ascii="Times New Roman" w:hAnsi="Times New Roman" w:cs="Times New Roman"/>
                <w:b/>
                <w:bCs/>
                <w:color w:val="000000"/>
                <w:sz w:val="21"/>
                <w:szCs w:val="21"/>
                <w:highlight w:val="none"/>
                <w:lang w:eastAsia="zh-CN"/>
              </w:rPr>
              <w:t>验证。</w:t>
            </w:r>
            <w:r>
              <w:rPr>
                <w:rFonts w:hint="default" w:ascii="Times New Roman" w:hAnsi="Times New Roman" w:cs="Times New Roman" w:eastAsiaTheme="minorEastAsia"/>
                <w:szCs w:val="24"/>
                <w:highlight w:val="none"/>
                <w:lang w:val="en-US" w:eastAsia="zh-CN"/>
              </w:rPr>
              <w:t>2022年3-</w:t>
            </w:r>
            <w:r>
              <w:rPr>
                <w:rFonts w:hint="eastAsia" w:ascii="Times New Roman" w:hAnsi="Times New Roman" w:cs="Times New Roman" w:eastAsiaTheme="minorEastAsia"/>
                <w:szCs w:val="24"/>
                <w:highlight w:val="none"/>
                <w:lang w:val="en-US" w:eastAsia="zh-CN"/>
              </w:rPr>
              <w:t>9</w:t>
            </w:r>
            <w:r>
              <w:rPr>
                <w:rFonts w:hint="default" w:ascii="Times New Roman" w:hAnsi="Times New Roman" w:cs="Times New Roman" w:eastAsiaTheme="minorEastAsia"/>
                <w:szCs w:val="24"/>
                <w:highlight w:val="none"/>
                <w:lang w:val="en-US" w:eastAsia="zh-CN"/>
              </w:rPr>
              <w:t>月</w:t>
            </w:r>
            <w:r>
              <w:rPr>
                <w:rFonts w:hint="default" w:ascii="Times New Roman" w:hAnsi="Times New Roman" w:eastAsia="黑体" w:cs="Times New Roman"/>
                <w:szCs w:val="24"/>
                <w:highlight w:val="none"/>
                <w:lang w:val="en-US" w:eastAsia="zh-CN"/>
              </w:rPr>
              <w:t>，</w:t>
            </w:r>
            <w:r>
              <w:rPr>
                <w:rFonts w:hint="eastAsia" w:ascii="Times New Roman" w:hAnsi="Times New Roman" w:eastAsia="宋体" w:cs="Times New Roman"/>
                <w:szCs w:val="24"/>
                <w:highlight w:val="none"/>
                <w:lang w:val="en-US" w:eastAsia="zh-CN"/>
              </w:rPr>
              <w:t>确定植物蛋白饮料源性成分高通量快速检测的技术路线，</w:t>
            </w:r>
            <w:r>
              <w:rPr>
                <w:rFonts w:hint="default" w:ascii="Times New Roman" w:hAnsi="Times New Roman" w:eastAsia="宋体" w:cs="Times New Roman"/>
                <w:szCs w:val="24"/>
                <w:highlight w:val="none"/>
              </w:rPr>
              <w:t>选定检测</w:t>
            </w:r>
            <w:r>
              <w:rPr>
                <w:rFonts w:hint="eastAsia" w:ascii="Times New Roman" w:hAnsi="Times New Roman" w:cs="Times New Roman"/>
                <w:szCs w:val="24"/>
                <w:highlight w:val="none"/>
                <w:lang w:val="en-US" w:eastAsia="zh-CN"/>
              </w:rPr>
              <w:t>靶标</w:t>
            </w:r>
            <w:r>
              <w:rPr>
                <w:rFonts w:hint="default" w:ascii="Times New Roman" w:hAnsi="Times New Roman" w:eastAsia="宋体" w:cs="Times New Roman"/>
                <w:szCs w:val="24"/>
                <w:highlight w:val="none"/>
              </w:rPr>
              <w:t>对象，设计引物，确定核酸提取技术，确定反应体系，验证引物及体系的特异性和稳定性，并开展微流控芯片的设计和研制，在实验室进行特异性、灵敏度和稳定性实验，同时开展模拟样本和实际样本的测试</w:t>
            </w:r>
            <w:r>
              <w:rPr>
                <w:rFonts w:hint="eastAsia" w:ascii="Times New Roman" w:hAnsi="Times New Roman" w:cs="Times New Roman"/>
                <w:szCs w:val="24"/>
                <w:highlight w:val="none"/>
                <w:lang w:eastAsia="zh-CN"/>
              </w:rPr>
              <w:t>，</w:t>
            </w:r>
            <w:r>
              <w:rPr>
                <w:rFonts w:hint="default" w:ascii="Times New Roman" w:hAnsi="Times New Roman" w:eastAsia="宋体" w:cs="Times New Roman"/>
                <w:szCs w:val="24"/>
                <w:highlight w:val="none"/>
              </w:rPr>
              <w:t>并</w:t>
            </w:r>
            <w:r>
              <w:rPr>
                <w:rFonts w:hint="eastAsia" w:ascii="Times New Roman" w:hAnsi="Times New Roman" w:cs="Times New Roman"/>
                <w:szCs w:val="24"/>
                <w:highlight w:val="none"/>
                <w:lang w:val="en-US" w:eastAsia="zh-CN"/>
              </w:rPr>
              <w:t>在有资质的</w:t>
            </w:r>
            <w:r>
              <w:rPr>
                <w:rFonts w:hint="default" w:ascii="Times New Roman" w:hAnsi="Times New Roman" w:eastAsia="宋体" w:cs="Times New Roman"/>
                <w:szCs w:val="24"/>
                <w:highlight w:val="none"/>
              </w:rPr>
              <w:t>4家</w:t>
            </w:r>
            <w:r>
              <w:rPr>
                <w:rFonts w:hint="eastAsia" w:ascii="Times New Roman" w:hAnsi="Times New Roman" w:cs="Times New Roman"/>
                <w:szCs w:val="24"/>
                <w:highlight w:val="none"/>
                <w:lang w:val="en-US" w:eastAsia="zh-CN"/>
              </w:rPr>
              <w:t>食品检验机构</w:t>
            </w:r>
            <w:r>
              <w:rPr>
                <w:rFonts w:hint="default" w:ascii="Times New Roman" w:hAnsi="Times New Roman" w:eastAsia="宋体" w:cs="Times New Roman"/>
                <w:szCs w:val="24"/>
                <w:highlight w:val="none"/>
              </w:rPr>
              <w:t>开展验证。</w:t>
            </w:r>
            <w:r>
              <w:rPr>
                <w:rFonts w:hint="default" w:ascii="Times New Roman" w:hAnsi="Times New Roman" w:cs="Times New Roman"/>
                <w:b w:val="0"/>
                <w:bCs w:val="0"/>
                <w:color w:val="000000"/>
                <w:sz w:val="21"/>
                <w:szCs w:val="21"/>
                <w:highlight w:val="none"/>
                <w:lang w:val="en-US" w:eastAsia="zh-CN"/>
              </w:rPr>
              <w:t>在参阅现有标准和参考检验方法及文献基础上，确定标准制订原则、主要采用技术、标准内容等。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highlight w:val="none"/>
                <w:lang w:eastAsia="zh-CN"/>
              </w:rPr>
            </w:pPr>
            <w:r>
              <w:rPr>
                <w:rFonts w:hint="eastAsia" w:ascii="Times New Roman" w:hAnsi="Times New Roman" w:cs="Times New Roman"/>
                <w:b/>
                <w:bCs/>
                <w:color w:val="000000"/>
                <w:sz w:val="21"/>
                <w:szCs w:val="21"/>
                <w:highlight w:val="none"/>
                <w:lang w:val="en-US" w:eastAsia="zh-CN"/>
              </w:rPr>
              <w:t>4</w:t>
            </w:r>
            <w:r>
              <w:rPr>
                <w:rFonts w:hint="default" w:ascii="Times New Roman" w:hAnsi="Times New Roman" w:cs="Times New Roman"/>
                <w:b/>
                <w:bCs/>
                <w:color w:val="000000"/>
                <w:sz w:val="21"/>
                <w:szCs w:val="21"/>
                <w:highlight w:val="none"/>
                <w:lang w:val="en-US" w:eastAsia="zh-CN"/>
              </w:rPr>
              <w:t>.</w:t>
            </w:r>
            <w:r>
              <w:rPr>
                <w:rFonts w:hint="default" w:ascii="Times New Roman" w:hAnsi="Times New Roman" w:cs="Times New Roman"/>
                <w:b/>
                <w:bCs/>
                <w:color w:val="000000"/>
                <w:sz w:val="21"/>
                <w:szCs w:val="21"/>
                <w:highlight w:val="none"/>
                <w:lang w:eastAsia="zh-CN"/>
              </w:rPr>
              <w:t>标准起草。</w:t>
            </w:r>
            <w:r>
              <w:rPr>
                <w:rFonts w:hint="default" w:ascii="Times New Roman" w:hAnsi="Times New Roman" w:eastAsia="宋体" w:cs="Times New Roman"/>
                <w:color w:val="000000"/>
                <w:sz w:val="21"/>
                <w:szCs w:val="21"/>
                <w:highlight w:val="none"/>
              </w:rPr>
              <w:t>2022年</w:t>
            </w:r>
            <w:r>
              <w:rPr>
                <w:rFonts w:hint="default" w:ascii="Times New Roman" w:hAnsi="Times New Roman" w:eastAsia="宋体" w:cs="Times New Roman"/>
                <w:color w:val="000000"/>
                <w:sz w:val="21"/>
                <w:szCs w:val="21"/>
                <w:highlight w:val="none"/>
                <w:lang w:val="en-US" w:eastAsia="zh-CN"/>
              </w:rPr>
              <w:t>9</w:t>
            </w:r>
            <w:r>
              <w:rPr>
                <w:rFonts w:hint="default" w:ascii="Times New Roman" w:hAnsi="Times New Roman" w:eastAsia="宋体" w:cs="Times New Roman"/>
                <w:color w:val="000000"/>
                <w:sz w:val="21"/>
                <w:szCs w:val="21"/>
                <w:highlight w:val="none"/>
              </w:rPr>
              <w:t>月</w:t>
            </w:r>
            <w:r>
              <w:rPr>
                <w:rFonts w:hint="default" w:ascii="Times New Roman" w:hAnsi="Times New Roman" w:cs="Times New Roman"/>
                <w:color w:val="000000"/>
                <w:sz w:val="21"/>
                <w:szCs w:val="21"/>
                <w:highlight w:val="none"/>
                <w:lang w:eastAsia="zh-CN"/>
              </w:rPr>
              <w:t>，</w:t>
            </w:r>
            <w:r>
              <w:rPr>
                <w:rFonts w:hint="default" w:ascii="Times New Roman" w:hAnsi="Times New Roman" w:eastAsia="宋体" w:cs="Times New Roman"/>
                <w:color w:val="000000"/>
                <w:sz w:val="21"/>
                <w:szCs w:val="21"/>
                <w:highlight w:val="none"/>
                <w:lang w:eastAsia="zh-CN"/>
              </w:rPr>
              <w:t>根据国家</w:t>
            </w:r>
            <w:r>
              <w:rPr>
                <w:rFonts w:hint="default" w:ascii="Times New Roman" w:hAnsi="Times New Roman" w:eastAsia="宋体" w:cs="Times New Roman"/>
                <w:color w:val="000000"/>
                <w:sz w:val="21"/>
                <w:szCs w:val="21"/>
                <w:highlight w:val="none"/>
                <w:lang w:val="en-US" w:eastAsia="zh-CN"/>
              </w:rPr>
              <w:t>对</w:t>
            </w:r>
            <w:r>
              <w:rPr>
                <w:rFonts w:hint="default" w:ascii="Times New Roman" w:hAnsi="Times New Roman" w:eastAsia="宋体" w:cs="Times New Roman"/>
                <w:color w:val="000000"/>
                <w:sz w:val="21"/>
                <w:szCs w:val="21"/>
                <w:highlight w:val="none"/>
                <w:lang w:eastAsia="zh-CN"/>
              </w:rPr>
              <w:t>标准</w:t>
            </w:r>
            <w:r>
              <w:rPr>
                <w:rFonts w:hint="default" w:ascii="Times New Roman" w:hAnsi="Times New Roman" w:eastAsia="宋体" w:cs="Times New Roman"/>
                <w:color w:val="000000"/>
                <w:sz w:val="21"/>
                <w:szCs w:val="21"/>
                <w:highlight w:val="none"/>
                <w:lang w:val="en-US" w:eastAsia="zh-CN"/>
              </w:rPr>
              <w:t>化文件起草要求</w:t>
            </w:r>
            <w:r>
              <w:rPr>
                <w:rFonts w:hint="default" w:ascii="Times New Roman" w:hAnsi="Times New Roman" w:eastAsia="宋体" w:cs="Times New Roman"/>
                <w:color w:val="000000"/>
                <w:sz w:val="21"/>
                <w:szCs w:val="21"/>
                <w:highlight w:val="none"/>
                <w:lang w:eastAsia="zh-CN"/>
              </w:rPr>
              <w:t>，各研究进展文献，参照实验室验证试验及检验方法实际运用情况，</w:t>
            </w:r>
            <w:r>
              <w:rPr>
                <w:rFonts w:hint="default" w:ascii="Times New Roman" w:hAnsi="Times New Roman" w:eastAsia="宋体" w:cs="Times New Roman"/>
                <w:color w:val="000000"/>
                <w:sz w:val="21"/>
                <w:szCs w:val="21"/>
                <w:highlight w:val="none"/>
                <w:lang w:val="en-US" w:eastAsia="zh-CN"/>
              </w:rPr>
              <w:t>标准起草工作组成员</w:t>
            </w:r>
            <w:r>
              <w:rPr>
                <w:rFonts w:hint="default" w:ascii="Times New Roman" w:hAnsi="Times New Roman" w:eastAsia="宋体" w:cs="Times New Roman"/>
                <w:color w:val="000000"/>
                <w:sz w:val="21"/>
                <w:szCs w:val="21"/>
                <w:highlight w:val="none"/>
                <w:lang w:eastAsia="zh-CN"/>
              </w:rPr>
              <w:t>编制《</w:t>
            </w:r>
            <w:r>
              <w:rPr>
                <w:rFonts w:hint="default" w:ascii="Times New Roman" w:hAnsi="Times New Roman" w:eastAsia="宋体" w:cs="Times New Roman"/>
                <w:color w:val="000000"/>
                <w:sz w:val="21"/>
                <w:szCs w:val="21"/>
                <w:highlight w:val="none"/>
                <w:lang w:val="en-US" w:eastAsia="zh-CN"/>
              </w:rPr>
              <w:t>植物蛋白饮料多种植物源性成分快速检测 数字微流控芯片法</w:t>
            </w:r>
            <w:r>
              <w:rPr>
                <w:rFonts w:hint="default" w:ascii="Times New Roman" w:hAnsi="Times New Roman" w:eastAsia="宋体" w:cs="Times New Roman"/>
                <w:color w:val="000000"/>
                <w:sz w:val="21"/>
                <w:szCs w:val="21"/>
                <w:highlight w:val="none"/>
                <w:lang w:eastAsia="zh-CN"/>
              </w:rPr>
              <w:t>》（</w:t>
            </w:r>
            <w:r>
              <w:rPr>
                <w:rFonts w:hint="default" w:ascii="Times New Roman" w:hAnsi="Times New Roman" w:eastAsia="宋体" w:cs="Times New Roman"/>
                <w:color w:val="000000"/>
                <w:sz w:val="21"/>
                <w:szCs w:val="21"/>
                <w:highlight w:val="none"/>
                <w:lang w:val="en-US" w:eastAsia="zh-CN"/>
              </w:rPr>
              <w:t>T/GFPU XXXX-</w:t>
            </w:r>
            <w:r>
              <w:rPr>
                <w:rFonts w:hint="default" w:ascii="Times New Roman" w:hAnsi="Times New Roman" w:cs="Times New Roman"/>
                <w:color w:val="000000"/>
                <w:sz w:val="21"/>
                <w:szCs w:val="21"/>
                <w:highlight w:val="none"/>
                <w:lang w:val="en-US" w:eastAsia="zh-CN"/>
              </w:rPr>
              <w:t>2022</w:t>
            </w:r>
            <w:r>
              <w:rPr>
                <w:rFonts w:hint="default" w:ascii="Times New Roman" w:hAnsi="Times New Roman" w:eastAsia="宋体" w:cs="Times New Roman"/>
                <w:color w:val="000000"/>
                <w:sz w:val="21"/>
                <w:szCs w:val="21"/>
                <w:highlight w:val="none"/>
                <w:lang w:eastAsia="zh-CN"/>
              </w:rPr>
              <w:t>）标准文本和编制说明。</w:t>
            </w:r>
          </w:p>
          <w:p>
            <w:pPr>
              <w:pStyle w:val="2"/>
              <w:keepNext w:val="0"/>
              <w:keepLines w:val="0"/>
              <w:pageBreakBefore w:val="0"/>
              <w:kinsoku/>
              <w:wordWrap/>
              <w:overflowPunct/>
              <w:topLinePunct w:val="0"/>
              <w:bidi w:val="0"/>
              <w:spacing w:after="0" w:line="440" w:lineRule="exact"/>
              <w:rPr>
                <w:rFonts w:hint="default" w:ascii="Times New Roman" w:hAnsi="Times New Roman" w:eastAsia="楷体" w:cs="Times New Roman"/>
                <w:b/>
                <w:bCs/>
                <w:color w:val="000000"/>
                <w:sz w:val="21"/>
                <w:szCs w:val="21"/>
                <w:lang w:val="en-US" w:eastAsia="zh-Hans"/>
              </w:rPr>
            </w:pPr>
            <w:r>
              <w:rPr>
                <w:rFonts w:hint="default" w:ascii="Times New Roman" w:hAnsi="Times New Roman" w:eastAsia="楷体" w:cs="Times New Roman"/>
                <w:b/>
                <w:bCs/>
                <w:color w:val="000000"/>
                <w:sz w:val="21"/>
                <w:szCs w:val="21"/>
                <w:lang w:val="en-US" w:eastAsia="zh-CN"/>
              </w:rPr>
              <w:t>（二）</w:t>
            </w:r>
            <w:r>
              <w:rPr>
                <w:rFonts w:hint="default" w:ascii="Times New Roman" w:hAnsi="Times New Roman" w:eastAsia="楷体" w:cs="Times New Roman"/>
                <w:b/>
                <w:bCs/>
                <w:color w:val="000000"/>
                <w:sz w:val="21"/>
                <w:szCs w:val="21"/>
                <w:lang w:val="en-US" w:eastAsia="zh-Hans"/>
              </w:rPr>
              <w:t>征求意见阶段</w:t>
            </w:r>
          </w:p>
          <w:p>
            <w:pPr>
              <w:keepNext w:val="0"/>
              <w:keepLines w:val="0"/>
              <w:pageBreakBefore w:val="0"/>
              <w:kinsoku/>
              <w:wordWrap/>
              <w:overflowPunct/>
              <w:topLinePunct w:val="0"/>
              <w:bidi w:val="0"/>
              <w:spacing w:line="440" w:lineRule="exact"/>
              <w:ind w:left="0" w:leftChars="0" w:firstLine="420" w:firstLineChars="200"/>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highlight w:val="none"/>
                <w:lang w:bidi="ar"/>
              </w:rPr>
              <w:t>2022年</w:t>
            </w:r>
            <w:r>
              <w:rPr>
                <w:rFonts w:hint="eastAsia" w:ascii="Times New Roman" w:hAnsi="Times New Roman" w:cs="Times New Roman"/>
                <w:color w:val="000000"/>
                <w:sz w:val="21"/>
                <w:szCs w:val="21"/>
                <w:highlight w:val="none"/>
                <w:lang w:val="en-US" w:eastAsia="zh-CN" w:bidi="ar"/>
              </w:rPr>
              <w:t>9</w:t>
            </w:r>
            <w:r>
              <w:rPr>
                <w:rFonts w:hint="default" w:ascii="Times New Roman" w:hAnsi="Times New Roman" w:eastAsia="宋体" w:cs="Times New Roman"/>
                <w:color w:val="000000"/>
                <w:sz w:val="21"/>
                <w:szCs w:val="21"/>
                <w:highlight w:val="none"/>
                <w:lang w:bidi="ar"/>
              </w:rPr>
              <w:t>月</w:t>
            </w:r>
            <w:r>
              <w:rPr>
                <w:rFonts w:hint="eastAsia" w:ascii="Times New Roman" w:hAnsi="Times New Roman" w:cs="Times New Roman"/>
                <w:color w:val="000000"/>
                <w:sz w:val="21"/>
                <w:szCs w:val="21"/>
                <w:highlight w:val="none"/>
                <w:lang w:val="en-US" w:eastAsia="zh-CN" w:bidi="ar"/>
              </w:rPr>
              <w:t>30</w:t>
            </w:r>
            <w:r>
              <w:rPr>
                <w:rFonts w:hint="default" w:ascii="Times New Roman" w:hAnsi="Times New Roman" w:eastAsia="宋体" w:cs="Times New Roman"/>
                <w:color w:val="000000"/>
                <w:sz w:val="21"/>
                <w:szCs w:val="21"/>
                <w:highlight w:val="none"/>
                <w:lang w:bidi="ar"/>
              </w:rPr>
              <w:t>日-</w:t>
            </w:r>
            <w:r>
              <w:rPr>
                <w:rFonts w:hint="eastAsia" w:ascii="Times New Roman" w:hAnsi="Times New Roman" w:cs="Times New Roman"/>
                <w:color w:val="000000"/>
                <w:sz w:val="21"/>
                <w:szCs w:val="21"/>
                <w:highlight w:val="none"/>
                <w:lang w:val="en-US" w:eastAsia="zh-CN" w:bidi="ar"/>
              </w:rPr>
              <w:t>10</w:t>
            </w:r>
            <w:r>
              <w:rPr>
                <w:rFonts w:hint="default" w:ascii="Times New Roman" w:hAnsi="Times New Roman" w:eastAsia="宋体" w:cs="Times New Roman"/>
                <w:color w:val="000000"/>
                <w:sz w:val="21"/>
                <w:szCs w:val="21"/>
                <w:highlight w:val="none"/>
                <w:lang w:bidi="ar"/>
              </w:rPr>
              <w:t>月</w:t>
            </w:r>
            <w:r>
              <w:rPr>
                <w:rFonts w:hint="eastAsia" w:ascii="Times New Roman" w:hAnsi="Times New Roman" w:cs="Times New Roman"/>
                <w:color w:val="000000"/>
                <w:sz w:val="21"/>
                <w:szCs w:val="21"/>
                <w:highlight w:val="none"/>
                <w:lang w:val="en-US" w:eastAsia="zh-CN" w:bidi="ar"/>
              </w:rPr>
              <w:t>31</w:t>
            </w:r>
            <w:r>
              <w:rPr>
                <w:rFonts w:hint="default" w:ascii="Times New Roman" w:hAnsi="Times New Roman" w:eastAsia="宋体" w:cs="Times New Roman"/>
                <w:color w:val="000000"/>
                <w:sz w:val="21"/>
                <w:szCs w:val="21"/>
                <w:highlight w:val="none"/>
                <w:lang w:bidi="ar"/>
              </w:rPr>
              <w:t>日，</w:t>
            </w:r>
            <w:r>
              <w:rPr>
                <w:rFonts w:hint="default" w:ascii="Times New Roman" w:hAnsi="Times New Roman" w:eastAsia="宋体" w:cs="Times New Roman"/>
                <w:color w:val="000000"/>
                <w:kern w:val="2"/>
                <w:sz w:val="21"/>
                <w:szCs w:val="21"/>
                <w:highlight w:val="none"/>
                <w:lang w:val="en-US" w:eastAsia="zh-CN" w:bidi="ar"/>
              </w:rPr>
              <w:t>起</w:t>
            </w:r>
            <w:r>
              <w:rPr>
                <w:rFonts w:hint="default" w:ascii="Times New Roman" w:hAnsi="Times New Roman" w:eastAsia="宋体" w:cs="Times New Roman"/>
                <w:color w:val="000000"/>
                <w:kern w:val="2"/>
                <w:sz w:val="21"/>
                <w:szCs w:val="21"/>
                <w:lang w:val="en-US" w:eastAsia="zh-CN" w:bidi="ar"/>
              </w:rPr>
              <w:t>草工作组就前期研究情况</w:t>
            </w:r>
            <w:r>
              <w:rPr>
                <w:rFonts w:hint="default" w:ascii="Times New Roman" w:hAnsi="Times New Roman" w:cs="Times New Roman"/>
                <w:color w:val="000000"/>
                <w:kern w:val="2"/>
                <w:sz w:val="21"/>
                <w:szCs w:val="21"/>
                <w:lang w:val="en-US" w:eastAsia="zh-CN" w:bidi="ar"/>
              </w:rPr>
              <w:t>和标准编制</w:t>
            </w:r>
            <w:r>
              <w:rPr>
                <w:rFonts w:hint="default" w:ascii="Times New Roman" w:hAnsi="Times New Roman" w:eastAsia="宋体" w:cs="Times New Roman"/>
                <w:color w:val="000000"/>
                <w:kern w:val="2"/>
                <w:sz w:val="21"/>
                <w:szCs w:val="21"/>
                <w:lang w:val="en-US" w:eastAsia="zh-CN" w:bidi="ar"/>
              </w:rPr>
              <w:t>进</w:t>
            </w:r>
            <w:r>
              <w:rPr>
                <w:rFonts w:hint="default" w:ascii="Times New Roman" w:hAnsi="Times New Roman" w:cs="Times New Roman"/>
                <w:color w:val="000000"/>
                <w:kern w:val="2"/>
                <w:sz w:val="21"/>
                <w:szCs w:val="21"/>
                <w:lang w:val="en-US" w:eastAsia="zh-CN" w:bidi="ar"/>
              </w:rPr>
              <w:t>行交流</w:t>
            </w:r>
            <w:r>
              <w:rPr>
                <w:rFonts w:hint="default" w:ascii="Times New Roman" w:hAnsi="Times New Roman" w:eastAsia="宋体" w:cs="Times New Roman"/>
                <w:color w:val="000000"/>
                <w:kern w:val="2"/>
                <w:sz w:val="21"/>
                <w:szCs w:val="21"/>
                <w:lang w:val="en-US" w:eastAsia="zh-CN" w:bidi="ar"/>
              </w:rPr>
              <w:t>，</w:t>
            </w:r>
            <w:r>
              <w:rPr>
                <w:rFonts w:hint="default" w:ascii="Times New Roman" w:hAnsi="Times New Roman" w:cs="Times New Roman"/>
                <w:color w:val="000000"/>
                <w:kern w:val="2"/>
                <w:sz w:val="21"/>
                <w:szCs w:val="21"/>
                <w:lang w:val="en-US" w:eastAsia="zh-CN" w:bidi="ar"/>
              </w:rPr>
              <w:t>重点</w:t>
            </w:r>
            <w:r>
              <w:rPr>
                <w:rFonts w:hint="default" w:ascii="Times New Roman" w:hAnsi="Times New Roman" w:eastAsia="宋体" w:cs="Times New Roman"/>
                <w:color w:val="000000"/>
                <w:kern w:val="2"/>
                <w:sz w:val="21"/>
                <w:szCs w:val="21"/>
                <w:lang w:val="en-US" w:eastAsia="zh-CN" w:bidi="ar"/>
              </w:rPr>
              <w:t>针对主要技术内容和指标设置进行充分讨论，基本达成一致意见</w:t>
            </w:r>
            <w:r>
              <w:rPr>
                <w:rFonts w:hint="default" w:ascii="Times New Roman" w:hAnsi="Times New Roman" w:eastAsia="宋体" w:cs="Times New Roman"/>
                <w:color w:val="000000"/>
                <w:kern w:val="2"/>
                <w:sz w:val="21"/>
                <w:szCs w:val="21"/>
                <w:lang w:val="en-US" w:eastAsia="zh-Hans" w:bidi="ar"/>
              </w:rPr>
              <w:t>，</w:t>
            </w:r>
            <w:r>
              <w:rPr>
                <w:rFonts w:hint="default" w:ascii="Times New Roman" w:hAnsi="Times New Roman" w:eastAsia="宋体" w:cs="Times New Roman"/>
                <w:color w:val="000000"/>
                <w:kern w:val="2"/>
                <w:sz w:val="21"/>
                <w:szCs w:val="21"/>
                <w:lang w:val="en-US" w:eastAsia="zh-CN" w:bidi="ar"/>
              </w:rPr>
              <w:t>在此基础上，</w:t>
            </w:r>
            <w:r>
              <w:rPr>
                <w:rFonts w:hint="default" w:ascii="Times New Roman" w:hAnsi="Times New Roman" w:cs="Times New Roman"/>
                <w:color w:val="000000"/>
                <w:kern w:val="2"/>
                <w:sz w:val="21"/>
                <w:szCs w:val="21"/>
                <w:lang w:val="en-US" w:eastAsia="zh-CN" w:bidi="ar"/>
              </w:rPr>
              <w:t>完善标准文本，</w:t>
            </w:r>
            <w:r>
              <w:rPr>
                <w:rFonts w:hint="default" w:ascii="Times New Roman" w:hAnsi="Times New Roman" w:eastAsia="宋体" w:cs="Times New Roman"/>
                <w:color w:val="000000"/>
                <w:kern w:val="2"/>
                <w:sz w:val="21"/>
                <w:szCs w:val="21"/>
                <w:lang w:val="en-US" w:eastAsia="zh-CN" w:bidi="ar"/>
              </w:rPr>
              <w:t>形成</w:t>
            </w:r>
            <w:r>
              <w:rPr>
                <w:rFonts w:hint="default" w:ascii="Times New Roman" w:hAnsi="Times New Roman" w:cs="Times New Roman"/>
                <w:color w:val="000000"/>
                <w:kern w:val="2"/>
                <w:sz w:val="21"/>
                <w:szCs w:val="21"/>
                <w:lang w:val="en-US" w:eastAsia="zh-CN" w:bidi="ar"/>
              </w:rPr>
              <w:t>了</w:t>
            </w:r>
            <w:r>
              <w:rPr>
                <w:rFonts w:hint="default" w:ascii="Times New Roman" w:hAnsi="Times New Roman" w:eastAsia="宋体" w:cs="Times New Roman"/>
                <w:color w:val="000000"/>
                <w:kern w:val="2"/>
                <w:sz w:val="21"/>
                <w:szCs w:val="21"/>
                <w:lang w:val="en-US" w:eastAsia="zh-CN" w:bidi="ar"/>
              </w:rPr>
              <w:t>标准征求意见稿。</w:t>
            </w:r>
          </w:p>
          <w:p>
            <w:pPr>
              <w:keepNext w:val="0"/>
              <w:keepLines w:val="0"/>
              <w:pageBreakBefore w:val="0"/>
              <w:kinsoku/>
              <w:wordWrap/>
              <w:overflowPunct/>
              <w:topLinePunct w:val="0"/>
              <w:bidi w:val="0"/>
              <w:spacing w:line="440" w:lineRule="exact"/>
              <w:ind w:left="0" w:leftChars="0" w:firstLine="420" w:firstLineChars="200"/>
              <w:rPr>
                <w:rFonts w:hint="default" w:ascii="Times New Roman" w:hAnsi="Times New Roman" w:eastAsia="宋体" w:cs="Times New Roman"/>
                <w:color w:val="000000"/>
                <w:sz w:val="21"/>
                <w:szCs w:val="21"/>
                <w:lang w:bidi="ar"/>
              </w:rPr>
            </w:pPr>
            <w:r>
              <w:rPr>
                <w:rFonts w:hint="default" w:ascii="Times New Roman" w:hAnsi="Times New Roman" w:eastAsia="宋体" w:cs="Times New Roman"/>
                <w:color w:val="000000"/>
                <w:sz w:val="21"/>
                <w:szCs w:val="21"/>
                <w:lang w:bidi="ar"/>
              </w:rPr>
              <w:t>起草工作组将征求意见稿发给广东省食品行业协会及相关专家并在</w:t>
            </w:r>
            <w:r>
              <w:rPr>
                <w:rFonts w:hint="default" w:ascii="Times New Roman" w:hAnsi="Times New Roman" w:cs="Times New Roman"/>
                <w:color w:val="000000"/>
                <w:sz w:val="21"/>
                <w:szCs w:val="21"/>
                <w:lang w:eastAsia="zh-CN" w:bidi="ar"/>
              </w:rPr>
              <w:t>全国团体标准信息平台（http://www.ttbz.org.cn/）和</w:t>
            </w:r>
            <w:r>
              <w:rPr>
                <w:rFonts w:hint="default" w:ascii="Times New Roman" w:hAnsi="Times New Roman" w:eastAsia="宋体" w:cs="Times New Roman"/>
                <w:color w:val="000000"/>
                <w:sz w:val="21"/>
                <w:szCs w:val="21"/>
                <w:lang w:val="en-US" w:eastAsia="zh-CN" w:bidi="ar"/>
              </w:rPr>
              <w:t>南方食品医药</w:t>
            </w:r>
            <w:r>
              <w:rPr>
                <w:rFonts w:hint="default" w:ascii="Times New Roman" w:hAnsi="Times New Roman" w:eastAsia="宋体" w:cs="Times New Roman"/>
                <w:color w:val="000000"/>
                <w:sz w:val="21"/>
                <w:szCs w:val="21"/>
                <w:lang w:bidi="ar"/>
              </w:rPr>
              <w:t>网（http://www.southfp.com/）面向社会公开征集意见</w:t>
            </w:r>
            <w:r>
              <w:rPr>
                <w:rFonts w:hint="default" w:ascii="Times New Roman" w:hAnsi="Times New Roman" w:cs="Times New Roman"/>
                <w:color w:val="000000"/>
                <w:sz w:val="21"/>
                <w:szCs w:val="21"/>
                <w:lang w:eastAsia="zh-CN" w:bidi="ar"/>
              </w:rPr>
              <w:t>。</w:t>
            </w:r>
          </w:p>
          <w:p>
            <w:pPr>
              <w:keepNext w:val="0"/>
              <w:keepLines w:val="0"/>
              <w:pageBreakBefore w:val="0"/>
              <w:numPr>
                <w:ilvl w:val="0"/>
                <w:numId w:val="1"/>
              </w:numPr>
              <w:kinsoku/>
              <w:wordWrap/>
              <w:overflowPunct/>
              <w:topLinePunct w:val="0"/>
              <w:bidi w:val="0"/>
              <w:spacing w:line="440" w:lineRule="exact"/>
              <w:rPr>
                <w:rFonts w:hint="default" w:ascii="Times New Roman" w:hAnsi="Times New Roman" w:cs="Times New Roman"/>
                <w:lang w:val="en-US"/>
              </w:rPr>
            </w:pPr>
            <w:r>
              <w:rPr>
                <w:rFonts w:hint="default" w:ascii="Times New Roman" w:hAnsi="Times New Roman" w:eastAsia="黑体" w:cs="Times New Roman"/>
                <w:b/>
                <w:bCs/>
                <w:color w:val="000000"/>
                <w:sz w:val="21"/>
                <w:szCs w:val="21"/>
              </w:rPr>
              <w:t>标准制订的基本原则和</w:t>
            </w:r>
            <w:r>
              <w:rPr>
                <w:rFonts w:hint="eastAsia" w:ascii="Times New Roman" w:hAnsi="Times New Roman" w:eastAsia="黑体" w:cs="Times New Roman"/>
                <w:b/>
                <w:bCs/>
                <w:color w:val="000000"/>
                <w:sz w:val="21"/>
                <w:szCs w:val="21"/>
                <w:lang w:val="en-US" w:eastAsia="zh-CN"/>
              </w:rPr>
              <w:t>依据</w:t>
            </w:r>
          </w:p>
          <w:p>
            <w:pPr>
              <w:keepNext w:val="0"/>
              <w:keepLines w:val="0"/>
              <w:pageBreakBefore w:val="0"/>
              <w:numPr>
                <w:ilvl w:val="0"/>
                <w:numId w:val="0"/>
              </w:numPr>
              <w:kinsoku/>
              <w:wordWrap/>
              <w:overflowPunct/>
              <w:topLinePunct w:val="0"/>
              <w:bidi w:val="0"/>
              <w:spacing w:line="440" w:lineRule="exact"/>
              <w:ind w:firstLine="420" w:firstLineChars="200"/>
              <w:rPr>
                <w:rFonts w:hint="default" w:ascii="Times New Roman" w:hAnsi="Times New Roman" w:cs="Times New Roman"/>
                <w:color w:val="000000"/>
              </w:rPr>
            </w:pPr>
            <w:r>
              <w:rPr>
                <w:rFonts w:hint="default" w:ascii="Times New Roman" w:hAnsi="Times New Roman" w:eastAsia="黑体" w:cs="Times New Roman"/>
                <w:color w:val="000000"/>
                <w:sz w:val="21"/>
                <w:szCs w:val="21"/>
                <w:lang w:val="en-US" w:eastAsia="zh-CN"/>
              </w:rPr>
              <w:t>（一）标准编制原则</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本标准立足于完善和提高植物蛋白饮料行业中的检测标准，为植物蛋白饮料中掺杂使假问题提供有效的品质鉴别手段，同时考虑规范植物蛋白饮料行业秩序，促进企业提升产品品质，保障消费者合法权益。本标准以植物蛋白饮料作为研究对象，针对植物蛋白饮料常见的大豆、核桃、榛子、花生、杏仁、椰子成分设计LAMP</w:t>
            </w:r>
            <w:r>
              <w:rPr>
                <w:rFonts w:hint="eastAsia" w:ascii="Times New Roman" w:hAnsi="Times New Roman" w:eastAsia="宋体" w:cs="Times New Roman"/>
                <w:color w:val="000000"/>
                <w:kern w:val="2"/>
                <w:sz w:val="21"/>
                <w:szCs w:val="24"/>
                <w:highlight w:val="none"/>
                <w:lang w:val="en-US" w:eastAsia="zh-CN" w:bidi="ar-SA"/>
              </w:rPr>
              <w:t>特异性</w:t>
            </w:r>
            <w:r>
              <w:rPr>
                <w:rFonts w:hint="default" w:ascii="Times New Roman" w:hAnsi="Times New Roman" w:eastAsia="宋体" w:cs="Times New Roman"/>
                <w:color w:val="000000"/>
                <w:kern w:val="2"/>
                <w:sz w:val="21"/>
                <w:szCs w:val="24"/>
                <w:highlight w:val="none"/>
                <w:lang w:val="en-US" w:eastAsia="zh-CN" w:bidi="ar-SA"/>
              </w:rPr>
              <w:t>引物，建立数字微流控芯片恒温扩增快速检测方法，为规范植物蛋白饮料生产、加工、流通秩序提供技术支持。</w:t>
            </w:r>
          </w:p>
          <w:p>
            <w:pPr>
              <w:keepNext w:val="0"/>
              <w:keepLines w:val="0"/>
              <w:pageBreakBefore w:val="0"/>
              <w:numPr>
                <w:ilvl w:val="0"/>
                <w:numId w:val="0"/>
              </w:numPr>
              <w:kinsoku/>
              <w:wordWrap/>
              <w:overflowPunct/>
              <w:topLinePunct w:val="0"/>
              <w:bidi w:val="0"/>
              <w:spacing w:line="440" w:lineRule="exact"/>
              <w:ind w:firstLine="420" w:firstLineChars="200"/>
              <w:rPr>
                <w:rFonts w:hint="default" w:ascii="Times New Roman" w:hAnsi="Times New Roman" w:eastAsia="黑体" w:cs="Times New Roman"/>
                <w:color w:val="000000"/>
                <w:sz w:val="21"/>
                <w:szCs w:val="21"/>
                <w:lang w:val="en-US" w:eastAsia="zh-CN"/>
              </w:rPr>
            </w:pPr>
            <w:r>
              <w:rPr>
                <w:rFonts w:hint="eastAsia" w:ascii="Times New Roman" w:hAnsi="Times New Roman" w:eastAsia="黑体" w:cs="Times New Roman"/>
                <w:color w:val="000000"/>
                <w:sz w:val="21"/>
                <w:szCs w:val="21"/>
                <w:lang w:val="en-US" w:eastAsia="zh-CN"/>
              </w:rPr>
              <w:t>（二）标准制定依据</w:t>
            </w:r>
          </w:p>
          <w:p>
            <w:pPr>
              <w:autoSpaceDE/>
              <w:autoSpaceDN/>
              <w:spacing w:line="360" w:lineRule="auto"/>
              <w:ind w:firstLine="420" w:firstLineChars="200"/>
              <w:rPr>
                <w:rFonts w:hint="eastAsia" w:ascii="Times New Roman" w:hAnsi="Times New Roman" w:eastAsia="宋体" w:cs="Times New Roman"/>
                <w:color w:val="000000"/>
                <w:szCs w:val="24"/>
                <w:highlight w:val="none"/>
                <w:lang w:eastAsia="zh-CN"/>
              </w:rPr>
            </w:pPr>
            <w:r>
              <w:rPr>
                <w:rFonts w:hint="default" w:ascii="Times New Roman" w:hAnsi="Times New Roman" w:eastAsia="宋体" w:cs="Times New Roman"/>
                <w:color w:val="000000"/>
                <w:szCs w:val="24"/>
                <w:highlight w:val="none"/>
              </w:rPr>
              <w:t>通过查找国内文献及标准情况，国内外无针对植物蛋白饮料中植物源性成分同时鉴定的高通量检测标准方法。</w:t>
            </w:r>
            <w:r>
              <w:rPr>
                <w:rFonts w:hint="eastAsia" w:ascii="Times New Roman" w:hAnsi="Times New Roman" w:cs="Times New Roman"/>
                <w:color w:val="000000"/>
                <w:szCs w:val="24"/>
                <w:highlight w:val="none"/>
                <w:lang w:val="en-US" w:eastAsia="zh-CN"/>
              </w:rPr>
              <w:t>参考</w:t>
            </w:r>
            <w:r>
              <w:rPr>
                <w:rFonts w:hint="default" w:ascii="Times New Roman" w:hAnsi="Times New Roman" w:eastAsia="宋体" w:cs="Times New Roman"/>
                <w:color w:val="000000"/>
                <w:szCs w:val="24"/>
                <w:highlight w:val="none"/>
              </w:rPr>
              <w:t>T/ZACA 031—2020《食源性致病菌快速检测微流控芯片法》</w:t>
            </w:r>
            <w:r>
              <w:rPr>
                <w:rFonts w:hint="eastAsia" w:ascii="Times New Roman" w:hAnsi="Times New Roman" w:cs="Times New Roman"/>
                <w:color w:val="000000"/>
                <w:szCs w:val="24"/>
                <w:highlight w:val="none"/>
                <w:lang w:val="en-US" w:eastAsia="zh-CN"/>
              </w:rPr>
              <w:t>、</w:t>
            </w:r>
            <w:r>
              <w:rPr>
                <w:rFonts w:hint="default" w:ascii="Times New Roman" w:hAnsi="Times New Roman" w:eastAsia="宋体" w:cs="Times New Roman"/>
                <w:color w:val="000000"/>
                <w:szCs w:val="24"/>
                <w:highlight w:val="none"/>
              </w:rPr>
              <w:t>SN/T 5336—2020《猪瘟病毒及非洲猪瘟病毒检测微流控芯片法》</w:t>
            </w:r>
            <w:r>
              <w:rPr>
                <w:rFonts w:hint="eastAsia" w:ascii="Times New Roman" w:hAnsi="Times New Roman" w:cs="Times New Roman"/>
                <w:color w:val="000000"/>
                <w:szCs w:val="24"/>
                <w:highlight w:val="none"/>
                <w:lang w:eastAsia="zh-CN"/>
              </w:rPr>
              <w:t>、</w:t>
            </w:r>
            <w:r>
              <w:rPr>
                <w:rFonts w:hint="default" w:ascii="Times New Roman" w:hAnsi="Times New Roman" w:eastAsia="宋体" w:cs="Times New Roman"/>
                <w:color w:val="000000"/>
                <w:szCs w:val="24"/>
                <w:highlight w:val="none"/>
              </w:rPr>
              <w:t>补充检验方法BJS 201707《植物蛋白饮料中植物源性成分鉴定》</w:t>
            </w:r>
            <w:r>
              <w:rPr>
                <w:rFonts w:hint="eastAsia" w:ascii="Times New Roman" w:hAnsi="Times New Roman" w:cs="Times New Roman"/>
                <w:color w:val="000000"/>
                <w:szCs w:val="24"/>
                <w:highlight w:val="none"/>
                <w:lang w:eastAsia="zh-CN"/>
              </w:rPr>
              <w:t>、</w:t>
            </w:r>
            <w:r>
              <w:rPr>
                <w:rFonts w:hint="default" w:ascii="Times New Roman" w:hAnsi="Times New Roman" w:eastAsia="宋体" w:cs="Times New Roman"/>
                <w:color w:val="000000"/>
                <w:szCs w:val="24"/>
                <w:highlight w:val="none"/>
              </w:rPr>
              <w:t>SN/T 1961系列出口食品过敏源食物成分荧光PCR行业标准及SN/T 4419系列出口食品过敏原食品成分LAMP行业标准</w:t>
            </w:r>
            <w:r>
              <w:rPr>
                <w:rFonts w:hint="eastAsia" w:ascii="Times New Roman" w:hAnsi="Times New Roman" w:cs="Times New Roman"/>
                <w:color w:val="000000"/>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sz w:val="21"/>
                <w:szCs w:val="21"/>
                <w:lang w:val="en-US" w:eastAsia="zh-CN"/>
              </w:rPr>
            </w:pPr>
            <w:r>
              <w:rPr>
                <w:rFonts w:hint="default" w:ascii="Times New Roman" w:hAnsi="Times New Roman" w:eastAsia="宋体" w:cs="Times New Roman"/>
                <w:color w:val="000000"/>
                <w:szCs w:val="24"/>
                <w:highlight w:val="none"/>
              </w:rPr>
              <w:t>欧盟、美国和澳大利亚及AOAC均未制定植物蛋白饮料中植物源性成分的检测标准。</w:t>
            </w:r>
            <w:r>
              <w:rPr>
                <w:rFonts w:hint="eastAsia" w:ascii="Times New Roman" w:hAnsi="Times New Roman" w:cs="Times New Roman"/>
                <w:color w:val="000000"/>
                <w:szCs w:val="24"/>
                <w:highlight w:val="none"/>
                <w:lang w:val="en-US" w:eastAsia="zh-CN"/>
              </w:rPr>
              <w:t>参考</w:t>
            </w:r>
            <w:r>
              <w:rPr>
                <w:rFonts w:hint="default" w:ascii="Times New Roman" w:hAnsi="Times New Roman" w:eastAsia="宋体" w:cs="Times New Roman"/>
                <w:color w:val="000000"/>
                <w:szCs w:val="24"/>
                <w:highlight w:val="none"/>
              </w:rPr>
              <w:t>欧盟食品类别具体的成分检测方法</w:t>
            </w:r>
            <w:r>
              <w:rPr>
                <w:rFonts w:hint="eastAsia" w:ascii="Times New Roman" w:hAnsi="Times New Roman" w:cs="Times New Roman"/>
                <w:color w:val="000000"/>
                <w:szCs w:val="24"/>
                <w:highlight w:val="none"/>
                <w:lang w:eastAsia="zh-CN"/>
              </w:rPr>
              <w:t>（</w:t>
            </w:r>
            <w:r>
              <w:rPr>
                <w:rFonts w:hint="default" w:ascii="Times New Roman" w:hAnsi="Times New Roman" w:eastAsia="宋体" w:cs="Times New Roman"/>
                <w:color w:val="000000"/>
                <w:szCs w:val="24"/>
                <w:highlight w:val="none"/>
              </w:rPr>
              <w:t>辐照食品成分检测方法、酒精饮料的分析方法、陆生无脊椎动物成分检测方法等</w:t>
            </w:r>
            <w:r>
              <w:rPr>
                <w:rFonts w:hint="eastAsia" w:ascii="Times New Roman" w:hAnsi="Times New Roman" w:cs="Times New Roman"/>
                <w:color w:val="000000"/>
                <w:szCs w:val="24"/>
                <w:highlight w:val="none"/>
                <w:lang w:eastAsia="zh-CN"/>
              </w:rPr>
              <w:t>），</w:t>
            </w:r>
            <w:r>
              <w:rPr>
                <w:rFonts w:hint="default" w:ascii="Times New Roman" w:hAnsi="Times New Roman" w:eastAsia="宋体" w:cs="Times New Roman"/>
                <w:color w:val="000000"/>
                <w:szCs w:val="24"/>
                <w:highlight w:val="none"/>
              </w:rPr>
              <w:t>澳大利亚标准协会与标志物检测相关的标准《食品-分子生物标志物分析-蛋白质的检测和定量的免疫化学方法》（ISO 21572：2019），AOAC</w:t>
            </w:r>
            <w:r>
              <w:rPr>
                <w:rFonts w:hint="eastAsia" w:ascii="Times New Roman" w:hAnsi="Times New Roman" w:cs="Times New Roman"/>
                <w:color w:val="000000"/>
                <w:szCs w:val="24"/>
                <w:highlight w:val="none"/>
                <w:lang w:val="en-US" w:eastAsia="zh-CN"/>
              </w:rPr>
              <w:t>建立</w:t>
            </w:r>
            <w:r>
              <w:rPr>
                <w:rFonts w:hint="default" w:ascii="Times New Roman" w:hAnsi="Times New Roman" w:eastAsia="宋体" w:cs="Times New Roman"/>
                <w:color w:val="000000"/>
                <w:szCs w:val="24"/>
                <w:highlight w:val="none"/>
              </w:rPr>
              <w:t>LC-MS/MS测定方法通过氨基酸测序进行蛋白质鉴定并制定了原料和成品中豌豆、大米和大豆蛋白的鉴定方法（AOAC 2017.11—2017）。</w:t>
            </w:r>
          </w:p>
          <w:p>
            <w:pPr>
              <w:keepNext w:val="0"/>
              <w:keepLines w:val="0"/>
              <w:pageBreakBefore w:val="0"/>
              <w:numPr>
                <w:ilvl w:val="0"/>
                <w:numId w:val="0"/>
              </w:numPr>
              <w:kinsoku/>
              <w:wordWrap/>
              <w:overflowPunct/>
              <w:topLinePunct w:val="0"/>
              <w:bidi w:val="0"/>
              <w:spacing w:line="440" w:lineRule="exact"/>
              <w:ind w:firstLine="420" w:firstLineChars="200"/>
              <w:rPr>
                <w:rFonts w:hint="eastAsia" w:ascii="Times New Roman" w:hAnsi="Times New Roman" w:eastAsia="黑体" w:cs="Times New Roman"/>
                <w:color w:val="000000"/>
                <w:sz w:val="21"/>
                <w:szCs w:val="21"/>
                <w:lang w:val="en-US" w:eastAsia="zh-CN"/>
              </w:rPr>
            </w:pPr>
            <w:r>
              <w:rPr>
                <w:rFonts w:hint="eastAsia" w:ascii="Times New Roman" w:hAnsi="Times New Roman" w:eastAsia="黑体" w:cs="Times New Roman"/>
                <w:color w:val="000000"/>
                <w:sz w:val="21"/>
                <w:szCs w:val="21"/>
                <w:lang w:val="en-US" w:eastAsia="zh-CN"/>
              </w:rPr>
              <w:t>（三）其他参考资料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本标准起草过程中，主要按照GB/T 1.1-2020《标准化工作导则 第1部分：标准化文件的结构和起草规则》进行编写。本标准制定过程中，主要参考了以下标准或文件：</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GB/T 6682 分析实验室用水规格和试验方法</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GB</w:t>
            </w:r>
            <w:r>
              <w:rPr>
                <w:rFonts w:hint="eastAsia" w:ascii="Times New Roman" w:hAnsi="Times New Roman" w:eastAsia="宋体" w:cs="Times New Roman"/>
                <w:color w:val="auto"/>
                <w:kern w:val="2"/>
                <w:sz w:val="21"/>
                <w:szCs w:val="21"/>
                <w:lang w:val="en-US" w:eastAsia="zh-CN"/>
              </w:rPr>
              <w:t xml:space="preserve"> </w:t>
            </w:r>
            <w:r>
              <w:rPr>
                <w:rFonts w:hint="default" w:ascii="Times New Roman" w:hAnsi="Times New Roman" w:eastAsia="宋体" w:cs="Times New Roman"/>
                <w:color w:val="auto"/>
                <w:kern w:val="2"/>
                <w:sz w:val="21"/>
                <w:szCs w:val="21"/>
                <w:lang w:val="en-US" w:eastAsia="zh-CN"/>
              </w:rPr>
              <w:t>19489 实验室生物安全通用要求</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GB/T 27403 实验室质量控制规范 食品分子生物学检测</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auto"/>
                <w:kern w:val="2"/>
                <w:sz w:val="21"/>
                <w:szCs w:val="21"/>
                <w:lang w:val="en-US" w:eastAsia="zh-CN"/>
              </w:rPr>
              <w:t>GB/T 19495.2 转基因产品检测 实验室技术要求</w:t>
            </w:r>
          </w:p>
          <w:p>
            <w:pPr>
              <w:keepNext w:val="0"/>
              <w:keepLines w:val="0"/>
              <w:pageBreakBefore w:val="0"/>
              <w:numPr>
                <w:ilvl w:val="0"/>
                <w:numId w:val="1"/>
              </w:numPr>
              <w:kinsoku/>
              <w:wordWrap/>
              <w:overflowPunct/>
              <w:topLinePunct w:val="0"/>
              <w:bidi w:val="0"/>
              <w:spacing w:line="440" w:lineRule="exact"/>
              <w:rPr>
                <w:rFonts w:hint="eastAsia" w:ascii="Times New Roman" w:hAnsi="Times New Roman" w:eastAsia="黑体" w:cs="Times New Roman"/>
                <w:b/>
                <w:bCs/>
                <w:color w:val="000000"/>
                <w:sz w:val="21"/>
                <w:szCs w:val="21"/>
                <w:lang w:val="en-US" w:eastAsia="zh-CN"/>
              </w:rPr>
            </w:pPr>
            <w:r>
              <w:rPr>
                <w:rFonts w:hint="eastAsia" w:ascii="Times New Roman" w:hAnsi="Times New Roman" w:eastAsia="黑体" w:cs="Times New Roman"/>
                <w:b/>
                <w:bCs/>
                <w:color w:val="000000"/>
                <w:sz w:val="21"/>
                <w:szCs w:val="21"/>
                <w:lang w:val="en-US" w:eastAsia="zh-CN"/>
              </w:rPr>
              <w:t>主要章、条确定的原则</w:t>
            </w:r>
          </w:p>
          <w:p>
            <w:pPr>
              <w:keepNext w:val="0"/>
              <w:keepLines w:val="0"/>
              <w:pageBreakBefore w:val="0"/>
              <w:kinsoku/>
              <w:wordWrap/>
              <w:overflowPunct/>
              <w:topLinePunct w:val="0"/>
              <w:bidi w:val="0"/>
              <w:spacing w:line="440" w:lineRule="exact"/>
              <w:ind w:firstLine="422" w:firstLineChars="200"/>
              <w:rPr>
                <w:rFonts w:hint="default" w:ascii="Times New Roman" w:hAnsi="Times New Roman" w:cs="Times New Roman"/>
                <w:b/>
                <w:bCs/>
                <w:color w:val="000000"/>
                <w:sz w:val="21"/>
                <w:szCs w:val="21"/>
                <w:lang w:val="en-US" w:eastAsia="zh-CN"/>
              </w:rPr>
            </w:pPr>
            <w:r>
              <w:rPr>
                <w:rFonts w:hint="default" w:ascii="Times New Roman" w:hAnsi="Times New Roman" w:cs="Times New Roman"/>
                <w:b/>
                <w:bCs/>
                <w:color w:val="000000"/>
                <w:sz w:val="21"/>
                <w:szCs w:val="21"/>
                <w:lang w:val="en-US" w:eastAsia="zh-CN"/>
              </w:rPr>
              <w:t>1.范围</w:t>
            </w:r>
          </w:p>
          <w:p>
            <w:pPr>
              <w:keepNext w:val="0"/>
              <w:keepLines w:val="0"/>
              <w:pageBreakBefore w:val="0"/>
              <w:kinsoku/>
              <w:wordWrap/>
              <w:overflowPunct/>
              <w:topLinePunct w:val="0"/>
              <w:bidi w:val="0"/>
              <w:spacing w:line="440" w:lineRule="exact"/>
              <w:ind w:firstLine="420" w:firstLineChars="200"/>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根据当前市场上销售含主要植物源性成分的蛋白饮料品种，及方案采用的芯片技术原理和设计使用要求，本标准规定了大豆、核桃、榛子、花生、杏仁、椰子作为检测对象，明确标准方法适用于植物蛋白饮料中上述6种源性成分的快速检测。</w:t>
            </w:r>
          </w:p>
          <w:p>
            <w:pPr>
              <w:keepNext w:val="0"/>
              <w:keepLines w:val="0"/>
              <w:pageBreakBefore w:val="0"/>
              <w:kinsoku/>
              <w:wordWrap/>
              <w:overflowPunct/>
              <w:topLinePunct w:val="0"/>
              <w:bidi w:val="0"/>
              <w:spacing w:line="440" w:lineRule="exact"/>
              <w:ind w:firstLine="422" w:firstLineChars="200"/>
              <w:rPr>
                <w:rFonts w:hint="default" w:ascii="Times New Roman" w:hAnsi="Times New Roman" w:cs="Times New Roman"/>
                <w:b/>
                <w:bCs/>
                <w:color w:val="000000"/>
                <w:sz w:val="21"/>
                <w:szCs w:val="21"/>
                <w:lang w:val="en-US" w:eastAsia="zh-CN"/>
              </w:rPr>
            </w:pPr>
            <w:r>
              <w:rPr>
                <w:rFonts w:hint="default" w:ascii="Times New Roman" w:hAnsi="Times New Roman" w:cs="Times New Roman"/>
                <w:b/>
                <w:bCs/>
                <w:color w:val="000000"/>
                <w:sz w:val="21"/>
                <w:szCs w:val="21"/>
                <w:lang w:val="en-US" w:eastAsia="zh-CN"/>
              </w:rPr>
              <w:t>2.术语、定义和缩略词</w:t>
            </w:r>
          </w:p>
          <w:p>
            <w:pPr>
              <w:autoSpaceDE/>
              <w:autoSpaceDN/>
              <w:spacing w:line="360" w:lineRule="auto"/>
              <w:ind w:firstLine="420" w:firstLineChars="200"/>
              <w:jc w:val="left"/>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标准文本重点介绍了数字微流控芯片技术的定义。微流控技术是涉及化学、流体物理、微电子、新材料、生物学和生物医学工程的新兴交叉学，是近年来兴起的应用于食品、医学检测的新兴技术，能够实现多靶标或多样本的高通量检测，同时满足检验高度集约化，能够显著降低对实验室环境及仪器设备的依赖程度，与未来检验技术的发展方向高度契合。目前主要有两种形式技术产品，一种是依赖微泵、微阀或微混合器等元件</w:t>
            </w:r>
            <w:r>
              <w:rPr>
                <w:rFonts w:hint="default" w:ascii="Times New Roman" w:hAnsi="Times New Roman" w:eastAsia="宋体" w:cs="Times New Roman"/>
                <w:szCs w:val="24"/>
                <w:highlight w:val="none"/>
                <w:lang w:eastAsia="zh-CN"/>
              </w:rPr>
              <w:t>，</w:t>
            </w:r>
            <w:r>
              <w:rPr>
                <w:rFonts w:hint="default" w:ascii="Times New Roman" w:hAnsi="Times New Roman" w:eastAsia="宋体" w:cs="Times New Roman"/>
                <w:szCs w:val="24"/>
                <w:highlight w:val="none"/>
                <w:lang w:val="en-US" w:eastAsia="zh-CN"/>
              </w:rPr>
              <w:t>通过</w:t>
            </w:r>
            <w:r>
              <w:rPr>
                <w:rFonts w:hint="default" w:ascii="Times New Roman" w:hAnsi="Times New Roman" w:eastAsia="宋体" w:cs="Times New Roman"/>
                <w:szCs w:val="24"/>
                <w:highlight w:val="none"/>
              </w:rPr>
              <w:t>离心力作用实现样本注入混合的圆盘式产品，一种是利用电浸润原理电子芯片，通过</w:t>
            </w:r>
            <w:r>
              <w:rPr>
                <w:rFonts w:hint="default" w:ascii="Times New Roman" w:hAnsi="Times New Roman" w:eastAsia="宋体" w:cs="Times New Roman"/>
                <w:szCs w:val="24"/>
                <w:highlight w:val="none"/>
                <w:lang w:val="en-US" w:eastAsia="zh-CN"/>
              </w:rPr>
              <w:t>计算机程序控制微电极阵列上液滴表面张力</w:t>
            </w:r>
            <w:r>
              <w:rPr>
                <w:rFonts w:hint="default" w:ascii="Times New Roman" w:hAnsi="Times New Roman" w:eastAsia="宋体" w:cs="Times New Roman"/>
                <w:szCs w:val="24"/>
                <w:highlight w:val="none"/>
              </w:rPr>
              <w:t>实现</w:t>
            </w:r>
            <w:r>
              <w:rPr>
                <w:rFonts w:hint="default" w:ascii="Times New Roman" w:hAnsi="Times New Roman" w:eastAsia="宋体" w:cs="Times New Roman"/>
                <w:szCs w:val="24"/>
                <w:highlight w:val="none"/>
                <w:lang w:val="en-US" w:eastAsia="zh-CN"/>
              </w:rPr>
              <w:t>精准</w:t>
            </w:r>
            <w:r>
              <w:rPr>
                <w:rFonts w:hint="default" w:ascii="Times New Roman" w:hAnsi="Times New Roman" w:eastAsia="宋体" w:cs="Times New Roman"/>
                <w:szCs w:val="24"/>
                <w:highlight w:val="none"/>
              </w:rPr>
              <w:t>移液。本标准采用电子芯片微流控技术，该技术移液精准均匀，稳定性好，成本低。具体的定义如下：</w:t>
            </w:r>
          </w:p>
          <w:p>
            <w:pPr>
              <w:autoSpaceDE/>
              <w:autoSpaceDN/>
              <w:spacing w:line="360" w:lineRule="auto"/>
              <w:ind w:firstLine="420" w:firstLineChars="200"/>
              <w:jc w:val="left"/>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数字微流控芯片技术（</w:t>
            </w:r>
            <w:r>
              <w:rPr>
                <w:rFonts w:hint="default" w:ascii="Times New Roman" w:hAnsi="Times New Roman" w:eastAsia="宋体" w:cs="Times New Roman"/>
                <w:color w:val="000000" w:themeColor="text1"/>
                <w:szCs w:val="24"/>
                <w:highlight w:val="none"/>
                <w:shd w:val="clear" w:color="auto" w:fill="FFFFFF"/>
                <w14:textFill>
                  <w14:solidFill>
                    <w14:schemeClr w14:val="tx1"/>
                  </w14:solidFill>
                </w14:textFill>
              </w:rPr>
              <w:t>Digital microfluidic chip）：</w:t>
            </w:r>
            <w:r>
              <w:rPr>
                <w:rFonts w:hint="default" w:ascii="Times New Roman" w:hAnsi="Times New Roman" w:eastAsia="宋体" w:cs="Times New Roman"/>
                <w:szCs w:val="24"/>
                <w:highlight w:val="none"/>
                <w:lang w:val="en-US" w:eastAsia="zh-CN"/>
              </w:rPr>
              <w:t>利用液滴在疏水表面的介电湿润现象，通过</w:t>
            </w:r>
            <w:r>
              <w:rPr>
                <w:rFonts w:hint="default" w:ascii="Times New Roman" w:hAnsi="Times New Roman" w:eastAsia="宋体" w:cs="Times New Roman"/>
                <w:szCs w:val="24"/>
                <w:highlight w:val="none"/>
              </w:rPr>
              <w:t>电子电路控制液体表面张力</w:t>
            </w:r>
            <w:r>
              <w:rPr>
                <w:rFonts w:hint="default" w:ascii="Times New Roman" w:hAnsi="Times New Roman" w:eastAsia="宋体" w:cs="Times New Roman"/>
                <w:szCs w:val="24"/>
                <w:highlight w:val="none"/>
                <w:lang w:val="en-US" w:eastAsia="zh-CN"/>
              </w:rPr>
              <w:t>，实现离散液滴的精准控制</w:t>
            </w:r>
            <w:r>
              <w:rPr>
                <w:rFonts w:hint="default" w:ascii="Times New Roman" w:hAnsi="Times New Roman" w:eastAsia="宋体" w:cs="Times New Roman"/>
                <w:szCs w:val="24"/>
                <w:highlight w:val="none"/>
              </w:rPr>
              <w:t>，结合引物试剂预包埋，LAMP技术，实现将配液、分装、检测等操作在封闭的芯片内自动进行。</w:t>
            </w:r>
          </w:p>
          <w:p>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另外，根据标准中使用的试剂及分子检测常用名词，相关缩略词如下：</w:t>
            </w:r>
          </w:p>
          <w:p>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szCs w:val="24"/>
                <w:highlight w:val="none"/>
              </w:rPr>
            </w:pPr>
            <w:r>
              <w:rPr>
                <w:rFonts w:hint="default" w:ascii="Times New Roman" w:hAnsi="Times New Roman" w:eastAsia="宋体" w:cs="Times New Roman"/>
                <w:i/>
                <w:iCs/>
                <w:szCs w:val="24"/>
                <w:highlight w:val="none"/>
              </w:rPr>
              <w:t>Bst</w:t>
            </w:r>
            <w:r>
              <w:rPr>
                <w:rFonts w:hint="default" w:ascii="Times New Roman" w:hAnsi="Times New Roman" w:eastAsia="宋体" w:cs="Times New Roman"/>
                <w:szCs w:val="24"/>
                <w:highlight w:val="none"/>
              </w:rPr>
              <w:t>：嗜热脂肪芽胞杆菌（</w:t>
            </w:r>
            <w:r>
              <w:rPr>
                <w:rFonts w:hint="default" w:ascii="Times New Roman" w:hAnsi="Times New Roman" w:eastAsia="宋体" w:cs="Times New Roman"/>
                <w:i/>
                <w:iCs/>
                <w:szCs w:val="24"/>
                <w:highlight w:val="none"/>
                <w:lang w:val="en-US" w:eastAsia="zh-CN"/>
              </w:rPr>
              <w:t>B</w:t>
            </w:r>
            <w:r>
              <w:rPr>
                <w:rFonts w:hint="default" w:ascii="Times New Roman" w:hAnsi="Times New Roman" w:eastAsia="宋体" w:cs="Times New Roman"/>
                <w:i/>
                <w:iCs/>
                <w:szCs w:val="24"/>
                <w:highlight w:val="none"/>
              </w:rPr>
              <w:t>acillus stearothermophilus</w:t>
            </w:r>
            <w:r>
              <w:rPr>
                <w:rFonts w:hint="default" w:ascii="Times New Roman" w:hAnsi="Times New Roman" w:eastAsia="宋体" w:cs="Times New Roman"/>
                <w:szCs w:val="24"/>
                <w:highlight w:val="none"/>
              </w:rPr>
              <w:t>）</w:t>
            </w:r>
          </w:p>
          <w:p>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DNA：脱氧核糖核酸（deoxyribonuleic acid）</w:t>
            </w:r>
          </w:p>
          <w:p>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RNA：核糖核酸（ribonucleic acid）</w:t>
            </w:r>
          </w:p>
          <w:p>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Tris-HCl：三羟甲基氨基甲烷-盐酸（tris （Thdroxymethyl）aminomethane-hydrochloric acid）</w:t>
            </w:r>
          </w:p>
          <w:p>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EDTA：乙二胺四乙酸（ethylene diaminetetraacetic acid）</w:t>
            </w:r>
          </w:p>
          <w:p>
            <w:pPr>
              <w:pStyle w:val="2"/>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rPr>
            </w:pPr>
            <w:r>
              <w:rPr>
                <w:rFonts w:hint="default" w:ascii="Times New Roman" w:hAnsi="Times New Roman" w:eastAsia="宋体" w:cs="Times New Roman"/>
                <w:color w:val="auto"/>
                <w:kern w:val="2"/>
                <w:sz w:val="21"/>
                <w:szCs w:val="21"/>
                <w:lang w:val="en-US" w:eastAsia="zh-CN"/>
              </w:rPr>
              <w:t>Na</w:t>
            </w:r>
            <w:r>
              <w:rPr>
                <w:rFonts w:hint="default" w:ascii="Times New Roman" w:hAnsi="Times New Roman" w:eastAsia="宋体" w:cs="Times New Roman"/>
                <w:color w:val="auto"/>
                <w:kern w:val="2"/>
                <w:sz w:val="21"/>
                <w:szCs w:val="21"/>
                <w:vertAlign w:val="subscript"/>
                <w:lang w:val="en-US" w:eastAsia="zh-CN"/>
              </w:rPr>
              <w:t>2</w:t>
            </w:r>
            <w:r>
              <w:rPr>
                <w:rFonts w:hint="default" w:ascii="Times New Roman" w:hAnsi="Times New Roman" w:eastAsia="宋体" w:cs="Times New Roman"/>
                <w:color w:val="auto"/>
                <w:kern w:val="2"/>
                <w:sz w:val="21"/>
                <w:szCs w:val="21"/>
                <w:lang w:val="en-US" w:eastAsia="zh-CN"/>
              </w:rPr>
              <w:t>EDTA：乙二胺四乙酸二钠（Ethylenediamine tetraacetic acid disodium）</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lang w:val="en-US" w:eastAsia="zh-CN"/>
              </w:rPr>
              <w:t>T</w:t>
            </w:r>
            <w:r>
              <w:rPr>
                <w:rFonts w:hint="default" w:ascii="Times New Roman" w:hAnsi="Times New Roman" w:eastAsia="宋体" w:cs="Times New Roman"/>
                <w:szCs w:val="24"/>
                <w:highlight w:val="none"/>
              </w:rPr>
              <w:t>t：</w:t>
            </w:r>
            <w:r>
              <w:rPr>
                <w:rFonts w:hint="default" w:ascii="Times New Roman" w:hAnsi="Times New Roman" w:eastAsia="宋体" w:cs="Times New Roman"/>
                <w:color w:val="auto"/>
                <w:kern w:val="2"/>
                <w:sz w:val="21"/>
                <w:szCs w:val="21"/>
                <w:lang w:val="en-US" w:eastAsia="zh-CN" w:bidi="ar-SA"/>
              </w:rPr>
              <w:t>时间阈值（time threshold）</w:t>
            </w:r>
          </w:p>
          <w:p>
            <w:pPr>
              <w:keepNext w:val="0"/>
              <w:keepLines w:val="0"/>
              <w:pageBreakBefore w:val="0"/>
              <w:kinsoku/>
              <w:wordWrap/>
              <w:overflowPunct/>
              <w:topLinePunct w:val="0"/>
              <w:bidi w:val="0"/>
              <w:spacing w:line="440" w:lineRule="exact"/>
              <w:ind w:firstLine="422" w:firstLineChars="200"/>
              <w:rPr>
                <w:rFonts w:hint="default" w:ascii="Times New Roman" w:hAnsi="Times New Roman" w:cs="Times New Roman"/>
                <w:b/>
                <w:bCs/>
                <w:color w:val="000000"/>
                <w:sz w:val="21"/>
                <w:szCs w:val="21"/>
                <w:lang w:val="en-US" w:eastAsia="zh-CN"/>
              </w:rPr>
            </w:pPr>
            <w:r>
              <w:rPr>
                <w:rFonts w:hint="default" w:ascii="Times New Roman" w:hAnsi="Times New Roman" w:cs="Times New Roman"/>
                <w:b/>
                <w:bCs/>
                <w:color w:val="000000"/>
                <w:sz w:val="21"/>
                <w:szCs w:val="21"/>
                <w:lang w:val="en-US" w:eastAsia="zh-CN"/>
              </w:rPr>
              <w:t>3.原理</w:t>
            </w:r>
          </w:p>
          <w:p>
            <w:pPr>
              <w:spacing w:line="360" w:lineRule="auto"/>
              <w:ind w:firstLine="420" w:firstLineChars="200"/>
              <w:jc w:val="left"/>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本标准方法制定的目标是实现样本中多靶标检测，同时能够实现现场快速检测，不依赖昂贵的仪器设备，检测设备能够随时移动，减少试剂保存及实验操作环境要求。微流控芯片技术源于上世纪90年代Manz等提出的微型全分析系统的概念，主要是指采用微机电系统技术在方寸大小的芯片上加工微米至纳米尺度的微通道网络，通过微尺度下流体的精确操控，在芯片上实现样品引入、前处理、混合、化学反应、分离、检测等功能，其系统具有微量、高效、成本低、微型化、集成化、高通量、自动化等特点。环介导等温扩增技术（Loop-mediated isothermal amplification, LAMP）最早是日本学者</w:t>
            </w:r>
            <w:r>
              <w:rPr>
                <w:rFonts w:hint="default" w:ascii="Times New Roman" w:hAnsi="Times New Roman" w:eastAsia="宋体" w:cs="Times New Roman"/>
                <w:szCs w:val="24"/>
                <w:highlight w:val="none"/>
                <w:lang w:val="en-US" w:eastAsia="zh-CN"/>
              </w:rPr>
              <w:t>Notomi博士</w:t>
            </w:r>
            <w:r>
              <w:rPr>
                <w:rFonts w:hint="default" w:ascii="Times New Roman" w:hAnsi="Times New Roman" w:eastAsia="宋体" w:cs="Times New Roman"/>
                <w:szCs w:val="24"/>
                <w:highlight w:val="none"/>
              </w:rPr>
              <w:t>在《Nucleic Acids Res》公开一种适用于基因诊断的恒温核酸扩增技术，该技术主要原理是利用具有链置换特异性的</w:t>
            </w:r>
            <w:r>
              <w:rPr>
                <w:rFonts w:hint="default" w:ascii="Times New Roman" w:hAnsi="Times New Roman" w:eastAsia="宋体" w:cs="Times New Roman"/>
                <w:i/>
                <w:iCs/>
                <w:szCs w:val="24"/>
                <w:highlight w:val="none"/>
              </w:rPr>
              <w:t xml:space="preserve">Bst </w:t>
            </w:r>
            <w:r>
              <w:rPr>
                <w:rFonts w:hint="default" w:ascii="Times New Roman" w:hAnsi="Times New Roman" w:eastAsia="宋体" w:cs="Times New Roman"/>
                <w:szCs w:val="24"/>
                <w:highlight w:val="none"/>
              </w:rPr>
              <w:t>DNA聚合酶和四</w:t>
            </w:r>
            <w:r>
              <w:rPr>
                <w:rFonts w:hint="default" w:ascii="Times New Roman" w:hAnsi="Times New Roman" w:eastAsia="宋体" w:cs="Times New Roman"/>
                <w:szCs w:val="24"/>
                <w:highlight w:val="none"/>
                <w:lang w:val="en-US" w:eastAsia="zh-CN"/>
              </w:rPr>
              <w:t>~六条</w:t>
            </w:r>
            <w:r>
              <w:rPr>
                <w:rFonts w:hint="default" w:ascii="Times New Roman" w:hAnsi="Times New Roman" w:eastAsia="宋体" w:cs="Times New Roman"/>
                <w:szCs w:val="24"/>
                <w:highlight w:val="none"/>
              </w:rPr>
              <w:t>能够特异性识别靶标序列上多个特异性区域</w:t>
            </w:r>
            <w:r>
              <w:rPr>
                <w:rFonts w:hint="default" w:ascii="Times New Roman" w:hAnsi="Times New Roman" w:eastAsia="宋体" w:cs="Times New Roman"/>
                <w:szCs w:val="24"/>
                <w:highlight w:val="none"/>
                <w:lang w:eastAsia="zh-CN"/>
              </w:rPr>
              <w:t>（</w:t>
            </w:r>
            <w:r>
              <w:rPr>
                <w:rFonts w:hint="default" w:ascii="Times New Roman" w:hAnsi="Times New Roman" w:eastAsia="宋体" w:cs="Times New Roman"/>
                <w:szCs w:val="24"/>
                <w:highlight w:val="none"/>
                <w:lang w:val="en-US" w:eastAsia="zh-CN"/>
              </w:rPr>
              <w:t>F3、F2、F1、B1、B2、B3</w:t>
            </w:r>
            <w:r>
              <w:rPr>
                <w:rFonts w:hint="default" w:ascii="Times New Roman" w:hAnsi="Times New Roman" w:eastAsia="宋体" w:cs="Times New Roman"/>
                <w:szCs w:val="24"/>
                <w:highlight w:val="none"/>
                <w:lang w:eastAsia="zh-CN"/>
              </w:rPr>
              <w:t>）</w:t>
            </w:r>
            <w:r>
              <w:rPr>
                <w:rFonts w:hint="default" w:ascii="Times New Roman" w:hAnsi="Times New Roman" w:eastAsia="宋体" w:cs="Times New Roman"/>
                <w:szCs w:val="24"/>
                <w:highlight w:val="none"/>
              </w:rPr>
              <w:t>的引物，开启循环链置换反应，从而实现等温条件下的连续快速反应，因此，该技术具有特异性强、灵敏度高、检测成本低、所需设备及人员要求不高，操作简单，反应时间短等优点。因此，通过技术分析和研究，利用微流控技术的高效多靶标、自动化操作反应、防污染特点，结合LAMP恒温快速扩增优势，组合成微流控芯片+LAMP合成检验技术。具体使用的技术原理见图1、图2，</w:t>
            </w:r>
          </w:p>
          <w:p>
            <w:pPr>
              <w:spacing w:line="360" w:lineRule="auto"/>
              <w:jc w:val="center"/>
              <w:rPr>
                <w:rFonts w:hint="default" w:ascii="Times New Roman" w:hAnsi="Times New Roman" w:eastAsia="宋体" w:cs="Times New Roman"/>
                <w:szCs w:val="24"/>
                <w:highlight w:val="none"/>
              </w:rPr>
            </w:pPr>
            <w:r>
              <w:rPr>
                <w:rFonts w:hint="default" w:ascii="Times New Roman" w:hAnsi="Times New Roman" w:cs="Times New Roman"/>
              </w:rPr>
              <w:drawing>
                <wp:inline distT="0" distB="0" distL="114300" distR="114300">
                  <wp:extent cx="5007610" cy="2426335"/>
                  <wp:effectExtent l="0" t="0" r="2540" b="1206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5007610" cy="2426335"/>
                          </a:xfrm>
                          <a:prstGeom prst="rect">
                            <a:avLst/>
                          </a:prstGeom>
                          <a:noFill/>
                          <a:ln>
                            <a:noFill/>
                          </a:ln>
                        </pic:spPr>
                      </pic:pic>
                    </a:graphicData>
                  </a:graphic>
                </wp:inline>
              </w:drawing>
            </w:r>
          </w:p>
          <w:p>
            <w:pPr>
              <w:spacing w:line="360" w:lineRule="auto"/>
              <w:jc w:val="center"/>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图1 芯片内部结构及移液过程</w:t>
            </w:r>
          </w:p>
          <w:p>
            <w:pPr>
              <w:spacing w:line="360" w:lineRule="auto"/>
              <w:jc w:val="center"/>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drawing>
                <wp:inline distT="0" distB="0" distL="114300" distR="114300">
                  <wp:extent cx="4827905" cy="4927600"/>
                  <wp:effectExtent l="0" t="0" r="10795" b="6350"/>
                  <wp:docPr id="3" name="图片 3" descr="QQ截图2022091714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截图20220917141613"/>
                          <pic:cNvPicPr>
                            <a:picLocks noChangeAspect="1"/>
                          </pic:cNvPicPr>
                        </pic:nvPicPr>
                        <pic:blipFill>
                          <a:blip r:embed="rId6"/>
                          <a:stretch>
                            <a:fillRect/>
                          </a:stretch>
                        </pic:blipFill>
                        <pic:spPr>
                          <a:xfrm>
                            <a:off x="0" y="0"/>
                            <a:ext cx="4827905" cy="4927600"/>
                          </a:xfrm>
                          <a:prstGeom prst="rect">
                            <a:avLst/>
                          </a:prstGeom>
                        </pic:spPr>
                      </pic:pic>
                    </a:graphicData>
                  </a:graphic>
                </wp:inline>
              </w:drawing>
            </w:r>
          </w:p>
          <w:p>
            <w:pPr>
              <w:autoSpaceDE/>
              <w:autoSpaceDN/>
              <w:spacing w:line="360" w:lineRule="auto"/>
              <w:ind w:firstLine="420" w:firstLineChars="200"/>
              <w:jc w:val="center"/>
              <w:rPr>
                <w:rFonts w:hint="default" w:ascii="Times New Roman" w:hAnsi="Times New Roman" w:eastAsia="黑体" w:cs="Times New Roman"/>
                <w:sz w:val="21"/>
                <w:szCs w:val="21"/>
                <w:highlight w:val="none"/>
              </w:rPr>
            </w:pPr>
            <w:r>
              <w:rPr>
                <w:rFonts w:hint="default" w:ascii="Times New Roman" w:hAnsi="Times New Roman" w:eastAsia="黑体" w:cs="Times New Roman"/>
                <w:sz w:val="21"/>
                <w:szCs w:val="21"/>
                <w:highlight w:val="none"/>
              </w:rPr>
              <w:t>图2 LAMP扩增原理</w:t>
            </w:r>
          </w:p>
          <w:p>
            <w:pPr>
              <w:spacing w:line="360" w:lineRule="auto"/>
              <w:ind w:firstLine="420" w:firstLineChars="200"/>
              <w:jc w:val="left"/>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依据以上技术机理，本标准方法具体过程原理如下：</w:t>
            </w:r>
          </w:p>
          <w:p>
            <w:pPr>
              <w:spacing w:line="360" w:lineRule="auto"/>
              <w:ind w:firstLine="420" w:firstLineChars="200"/>
              <w:jc w:val="left"/>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针对植物蛋白饮料常见的大豆、核桃、榛子、花生、杏仁、椰子成分设计LAMP特异性性引物，并将其分别固定在微流控芯片的相应位置后，对数字微流控芯片进行封装，将提取的植物蛋白饮料DNA与恒温扩增反应液混合后，加入微流控芯片中进行63</w:t>
            </w:r>
            <w:r>
              <w:rPr>
                <w:rFonts w:hint="default" w:ascii="Times New Roman" w:hAnsi="Times New Roman" w:eastAsia="宋体" w:cs="Times New Roman"/>
                <w:szCs w:val="24"/>
                <w:highlight w:val="none"/>
                <w:lang w:val="en-US" w:eastAsia="zh-CN"/>
              </w:rPr>
              <w:t xml:space="preserve"> </w:t>
            </w:r>
            <w:r>
              <w:rPr>
                <w:rFonts w:hint="default" w:ascii="Times New Roman" w:hAnsi="Times New Roman" w:eastAsia="宋体" w:cs="Times New Roman"/>
                <w:szCs w:val="24"/>
                <w:highlight w:val="none"/>
              </w:rPr>
              <w:t>℃恒温扩增反应，通过微流控芯片检测仪实时检测荧光信号，扩增产物随着荧光信号出现的时间、强度和位置，判断样本中是否含有目标植物源性成分。</w:t>
            </w:r>
          </w:p>
          <w:p>
            <w:pPr>
              <w:keepNext w:val="0"/>
              <w:keepLines w:val="0"/>
              <w:pageBreakBefore w:val="0"/>
              <w:kinsoku/>
              <w:wordWrap/>
              <w:overflowPunct/>
              <w:topLinePunct w:val="0"/>
              <w:bidi w:val="0"/>
              <w:spacing w:line="440" w:lineRule="exact"/>
              <w:ind w:firstLine="422" w:firstLineChars="200"/>
              <w:rPr>
                <w:rFonts w:hint="default" w:ascii="Times New Roman" w:hAnsi="Times New Roman" w:cs="Times New Roman"/>
                <w:b/>
                <w:bCs/>
                <w:color w:val="000000"/>
                <w:sz w:val="21"/>
                <w:szCs w:val="21"/>
                <w:lang w:val="en-US" w:eastAsia="zh-CN"/>
              </w:rPr>
            </w:pPr>
            <w:r>
              <w:rPr>
                <w:rFonts w:hint="default" w:ascii="Times New Roman" w:hAnsi="Times New Roman" w:cs="Times New Roman"/>
                <w:b/>
                <w:bCs/>
                <w:color w:val="000000"/>
                <w:sz w:val="21"/>
                <w:szCs w:val="21"/>
                <w:lang w:val="en-US" w:eastAsia="zh-CN"/>
              </w:rPr>
              <w:t>4.试剂与材料</w:t>
            </w:r>
          </w:p>
          <w:p>
            <w:pPr>
              <w:keepNext w:val="0"/>
              <w:keepLines w:val="0"/>
              <w:pageBreakBefore w:val="0"/>
              <w:kinsoku/>
              <w:wordWrap/>
              <w:overflowPunct/>
              <w:topLinePunct w:val="0"/>
              <w:bidi w:val="0"/>
              <w:spacing w:line="440" w:lineRule="exact"/>
              <w:ind w:firstLine="422" w:firstLineChars="200"/>
              <w:rPr>
                <w:rFonts w:hint="default" w:ascii="Times New Roman" w:hAnsi="Times New Roman" w:cs="Times New Roman"/>
                <w:b/>
                <w:bCs/>
                <w:color w:val="000000"/>
                <w:sz w:val="21"/>
                <w:szCs w:val="21"/>
                <w:lang w:val="en-US" w:eastAsia="zh-CN"/>
              </w:rPr>
            </w:pPr>
            <w:r>
              <w:rPr>
                <w:rFonts w:hint="default" w:ascii="Times New Roman" w:hAnsi="Times New Roman" w:cs="Times New Roman"/>
                <w:b/>
                <w:bCs/>
                <w:color w:val="000000"/>
                <w:sz w:val="21"/>
                <w:szCs w:val="21"/>
                <w:lang w:val="en-US" w:eastAsia="zh-CN"/>
              </w:rPr>
              <w:t>4.1 引物</w:t>
            </w:r>
          </w:p>
          <w:p>
            <w:pPr>
              <w:adjustRightInd/>
              <w:spacing w:before="163" w:beforeLines="50" w:after="163" w:afterLines="50" w:line="360" w:lineRule="auto"/>
              <w:ind w:firstLine="420" w:firstLineChars="200"/>
              <w:jc w:val="left"/>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本标准中使用的扩增引物，根据相关文献及参考标准中的方法，确定6种植物源性成分常用的保守性持家基因，大豆选用</w:t>
            </w:r>
            <w:r>
              <w:rPr>
                <w:rFonts w:hint="default" w:ascii="Times New Roman" w:hAnsi="Times New Roman" w:eastAsia="宋体" w:cs="Times New Roman"/>
                <w:i/>
                <w:iCs/>
                <w:szCs w:val="24"/>
                <w:highlight w:val="none"/>
              </w:rPr>
              <w:t>Lectin</w:t>
            </w:r>
            <w:r>
              <w:rPr>
                <w:rFonts w:hint="default" w:ascii="Times New Roman" w:hAnsi="Times New Roman" w:eastAsia="宋体" w:cs="Times New Roman"/>
                <w:szCs w:val="24"/>
                <w:highlight w:val="none"/>
              </w:rPr>
              <w:t>基因，核桃选用</w:t>
            </w:r>
            <w:r>
              <w:rPr>
                <w:rFonts w:hint="default" w:ascii="Times New Roman" w:hAnsi="Times New Roman" w:eastAsia="宋体" w:cs="Times New Roman"/>
                <w:i/>
                <w:iCs/>
                <w:szCs w:val="24"/>
                <w:highlight w:val="none"/>
              </w:rPr>
              <w:t>vicilin-like protein precursor</w:t>
            </w:r>
            <w:r>
              <w:rPr>
                <w:rFonts w:hint="default" w:ascii="Times New Roman" w:hAnsi="Times New Roman" w:eastAsia="宋体" w:cs="Times New Roman"/>
                <w:szCs w:val="24"/>
                <w:highlight w:val="none"/>
              </w:rPr>
              <w:t>基因，榛子选用</w:t>
            </w:r>
            <w:r>
              <w:rPr>
                <w:rFonts w:hint="default" w:ascii="Times New Roman" w:hAnsi="Times New Roman" w:eastAsia="宋体" w:cs="Times New Roman"/>
                <w:i/>
                <w:iCs/>
                <w:szCs w:val="24"/>
                <w:highlight w:val="none"/>
              </w:rPr>
              <w:t>Ca8</w:t>
            </w:r>
            <w:r>
              <w:rPr>
                <w:rFonts w:hint="default" w:ascii="Times New Roman" w:hAnsi="Times New Roman" w:eastAsia="宋体" w:cs="Times New Roman"/>
                <w:szCs w:val="24"/>
                <w:highlight w:val="none"/>
              </w:rPr>
              <w:t>基因，花生选用</w:t>
            </w:r>
            <w:r>
              <w:rPr>
                <w:rFonts w:hint="default" w:ascii="Times New Roman" w:hAnsi="Times New Roman" w:eastAsia="宋体" w:cs="Times New Roman"/>
                <w:i/>
                <w:iCs/>
                <w:szCs w:val="24"/>
                <w:highlight w:val="none"/>
                <w:lang w:val="en-US" w:eastAsia="zh-CN"/>
              </w:rPr>
              <w:t>Arah 2.02</w:t>
            </w:r>
            <w:r>
              <w:rPr>
                <w:rFonts w:hint="default" w:ascii="Times New Roman" w:hAnsi="Times New Roman" w:eastAsia="宋体" w:cs="Times New Roman"/>
                <w:szCs w:val="24"/>
                <w:highlight w:val="none"/>
              </w:rPr>
              <w:t>基因，杏仁选择</w:t>
            </w:r>
            <w:r>
              <w:rPr>
                <w:rFonts w:hint="default" w:ascii="Times New Roman" w:hAnsi="Times New Roman" w:eastAsia="宋体" w:cs="Times New Roman"/>
                <w:bCs/>
                <w:i/>
                <w:iCs/>
                <w:color w:val="000000"/>
                <w:sz w:val="21"/>
                <w:szCs w:val="21"/>
                <w:highlight w:val="none"/>
                <w:lang w:bidi="ar"/>
              </w:rPr>
              <w:t>PR5-1</w:t>
            </w:r>
            <w:r>
              <w:rPr>
                <w:rFonts w:hint="default" w:ascii="Times New Roman" w:hAnsi="Times New Roman" w:eastAsia="宋体" w:cs="Times New Roman"/>
                <w:szCs w:val="24"/>
                <w:highlight w:val="none"/>
              </w:rPr>
              <w:t>基因，椰子选用</w:t>
            </w:r>
            <w:r>
              <w:rPr>
                <w:rFonts w:hint="default" w:ascii="Times New Roman" w:hAnsi="Times New Roman" w:eastAsia="宋体" w:cs="Times New Roman"/>
                <w:i/>
                <w:iCs/>
                <w:szCs w:val="24"/>
                <w:highlight w:val="none"/>
              </w:rPr>
              <w:t>Hd3a</w:t>
            </w:r>
            <w:r>
              <w:rPr>
                <w:rFonts w:hint="default" w:ascii="Times New Roman" w:hAnsi="Times New Roman" w:eastAsia="宋体" w:cs="Times New Roman"/>
                <w:szCs w:val="24"/>
                <w:highlight w:val="none"/>
              </w:rPr>
              <w:t>基因，将选择基因放在NCBI网站上进行序列比对，确立了物种的保守基因序列位置，再将保守基因下载保存为.FASTA格式，利用PrimerExplorer V4软件，设计LAMP反应引物，每一个成分引物有5-6条序列组成，包括有上游外部引物(F3)、下游外部引物(B3)、上游内引物（FIP）、下游内引物(BIP)、上游环引物(LF)、下游环引物（LB）</w:t>
            </w:r>
            <w:r>
              <w:rPr>
                <w:rFonts w:hint="eastAsia" w:ascii="Times New Roman" w:hAnsi="Times New Roman" w:cs="Times New Roman"/>
                <w:szCs w:val="24"/>
                <w:highlight w:val="none"/>
                <w:lang w:val="en-US" w:eastAsia="zh-CN"/>
              </w:rPr>
              <w:t>，</w:t>
            </w:r>
            <w:r>
              <w:rPr>
                <w:rFonts w:hint="default" w:ascii="Times New Roman" w:hAnsi="Times New Roman" w:eastAsia="宋体" w:cs="Times New Roman"/>
                <w:szCs w:val="24"/>
                <w:highlight w:val="none"/>
              </w:rPr>
              <w:t>每个物种</w:t>
            </w:r>
            <w:r>
              <w:rPr>
                <w:rFonts w:hint="eastAsia" w:ascii="Times New Roman" w:hAnsi="Times New Roman" w:cs="Times New Roman"/>
                <w:szCs w:val="24"/>
                <w:highlight w:val="none"/>
                <w:lang w:val="en-US" w:eastAsia="zh-CN"/>
              </w:rPr>
              <w:t>靶标序列</w:t>
            </w:r>
            <w:r>
              <w:rPr>
                <w:rFonts w:hint="default" w:ascii="Times New Roman" w:hAnsi="Times New Roman" w:eastAsia="宋体" w:cs="Times New Roman"/>
                <w:szCs w:val="24"/>
                <w:highlight w:val="none"/>
              </w:rPr>
              <w:t>均设计出多组LAMP引物，通过对引物的特异性及灵敏度验证，选择最优一组引物，详见表1。</w:t>
            </w:r>
          </w:p>
          <w:p>
            <w:pPr>
              <w:autoSpaceDE/>
              <w:autoSpaceDN/>
              <w:spacing w:line="360" w:lineRule="auto"/>
              <w:ind w:firstLine="420" w:firstLineChars="200"/>
              <w:jc w:val="center"/>
              <w:rPr>
                <w:rFonts w:hint="default" w:ascii="Times New Roman" w:hAnsi="Times New Roman" w:eastAsia="黑体" w:cs="Times New Roman"/>
                <w:sz w:val="21"/>
                <w:szCs w:val="21"/>
                <w:highlight w:val="none"/>
              </w:rPr>
            </w:pPr>
            <w:r>
              <w:rPr>
                <w:rFonts w:hint="default" w:ascii="Times New Roman" w:hAnsi="Times New Roman" w:eastAsia="黑体" w:cs="Times New Roman"/>
                <w:sz w:val="21"/>
                <w:szCs w:val="21"/>
                <w:highlight w:val="none"/>
              </w:rPr>
              <w:t>表1 六种植物源性成分LAMP引物序列</w:t>
            </w:r>
          </w:p>
          <w:tbl>
            <w:tblPr>
              <w:tblStyle w:val="6"/>
              <w:tblW w:w="8683" w:type="dxa"/>
              <w:tblInd w:w="0" w:type="dxa"/>
              <w:tblLayout w:type="fixed"/>
              <w:tblCellMar>
                <w:top w:w="0" w:type="dxa"/>
                <w:left w:w="0" w:type="dxa"/>
                <w:bottom w:w="0" w:type="dxa"/>
                <w:right w:w="0" w:type="dxa"/>
              </w:tblCellMar>
            </w:tblPr>
            <w:tblGrid>
              <w:gridCol w:w="545"/>
              <w:gridCol w:w="968"/>
              <w:gridCol w:w="1155"/>
              <w:gridCol w:w="6015"/>
            </w:tblGrid>
            <w:tr>
              <w:tblPrEx>
                <w:tblCellMar>
                  <w:top w:w="0" w:type="dxa"/>
                  <w:left w:w="0" w:type="dxa"/>
                  <w:bottom w:w="0" w:type="dxa"/>
                  <w:right w:w="0" w:type="dxa"/>
                </w:tblCellMar>
              </w:tblPrEx>
              <w:trPr>
                <w:trHeight w:val="380" w:hRule="atLeast"/>
                <w:tblHeader/>
              </w:trPr>
              <w:tc>
                <w:tcPr>
                  <w:tcW w:w="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物种</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lang w:bidi="ar"/>
                    </w:rPr>
                  </w:pPr>
                  <w:r>
                    <w:rPr>
                      <w:rFonts w:hint="default" w:ascii="Times New Roman" w:hAnsi="Times New Roman" w:eastAsia="宋体" w:cs="Times New Roman"/>
                      <w:bCs/>
                      <w:color w:val="000000"/>
                      <w:sz w:val="20"/>
                      <w:szCs w:val="20"/>
                      <w:highlight w:val="none"/>
                      <w:lang w:bidi="ar"/>
                    </w:rPr>
                    <w:t>靶标基因</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引物名称</w:t>
                  </w:r>
                </w:p>
              </w:tc>
              <w:tc>
                <w:tcPr>
                  <w:tcW w:w="6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引物序列</w:t>
                  </w:r>
                </w:p>
              </w:tc>
            </w:tr>
            <w:tr>
              <w:tblPrEx>
                <w:tblCellMar>
                  <w:top w:w="0" w:type="dxa"/>
                  <w:left w:w="0" w:type="dxa"/>
                  <w:bottom w:w="0" w:type="dxa"/>
                  <w:right w:w="0" w:type="dxa"/>
                </w:tblCellMar>
              </w:tblPrEx>
              <w:trPr>
                <w:trHeight w:val="270" w:hRule="atLeast"/>
              </w:trPr>
              <w:tc>
                <w:tcPr>
                  <w:tcW w:w="54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大豆</w:t>
                  </w:r>
                </w:p>
              </w:tc>
              <w:tc>
                <w:tcPr>
                  <w:tcW w:w="968" w:type="dxa"/>
                  <w:vMerge w:val="restart"/>
                  <w:tcBorders>
                    <w:top w:val="single" w:color="000000" w:sz="4" w:space="0"/>
                    <w:left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lang w:bidi="ar"/>
                    </w:rPr>
                  </w:pPr>
                  <w:r>
                    <w:rPr>
                      <w:rFonts w:hint="default" w:ascii="Times New Roman" w:hAnsi="Times New Roman" w:eastAsia="宋体" w:cs="Times New Roman"/>
                      <w:bCs/>
                      <w:i/>
                      <w:iCs/>
                      <w:color w:val="000000"/>
                      <w:sz w:val="20"/>
                      <w:szCs w:val="20"/>
                      <w:highlight w:val="none"/>
                      <w:lang w:val="en-US" w:eastAsia="zh-CN" w:bidi="ar"/>
                    </w:rPr>
                    <w:t>Lectin</w:t>
                  </w:r>
                </w:p>
              </w:tc>
              <w:tc>
                <w:tcPr>
                  <w:tcW w:w="115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F3</w:t>
                  </w:r>
                </w:p>
              </w:tc>
              <w:tc>
                <w:tcPr>
                  <w:tcW w:w="601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left"/>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GGCAAATAATATGATACCTGAACT</w:t>
                  </w:r>
                </w:p>
              </w:tc>
            </w:tr>
            <w:tr>
              <w:tblPrEx>
                <w:tblCellMar>
                  <w:top w:w="0" w:type="dxa"/>
                  <w:left w:w="0" w:type="dxa"/>
                  <w:bottom w:w="0" w:type="dxa"/>
                  <w:right w:w="0" w:type="dxa"/>
                </w:tblCellMar>
              </w:tblPrEx>
              <w:trPr>
                <w:trHeight w:val="270" w:hRule="atLeast"/>
              </w:trPr>
              <w:tc>
                <w:tcPr>
                  <w:tcW w:w="5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968" w:type="dxa"/>
                  <w:vMerge w:val="continue"/>
                  <w:tcBorders>
                    <w:left w:val="single" w:color="000000" w:sz="4" w:space="0"/>
                    <w:right w:val="single" w:color="000000" w:sz="4" w:space="0"/>
                  </w:tcBorders>
                  <w:shd w:val="clear" w:color="auto" w:fill="FFFFFF"/>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B3</w:t>
                  </w:r>
                </w:p>
              </w:tc>
              <w:tc>
                <w:tcPr>
                  <w:tcW w:w="601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left"/>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AGAGTGAAAAGCTACCCAAT</w:t>
                  </w:r>
                </w:p>
              </w:tc>
            </w:tr>
            <w:tr>
              <w:tblPrEx>
                <w:tblCellMar>
                  <w:top w:w="0" w:type="dxa"/>
                  <w:left w:w="0" w:type="dxa"/>
                  <w:bottom w:w="0" w:type="dxa"/>
                  <w:right w:w="0" w:type="dxa"/>
                </w:tblCellMar>
              </w:tblPrEx>
              <w:trPr>
                <w:trHeight w:val="270" w:hRule="atLeast"/>
              </w:trPr>
              <w:tc>
                <w:tcPr>
                  <w:tcW w:w="5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968" w:type="dxa"/>
                  <w:vMerge w:val="continue"/>
                  <w:tcBorders>
                    <w:left w:val="single" w:color="000000" w:sz="4" w:space="0"/>
                    <w:right w:val="single" w:color="000000" w:sz="4" w:space="0"/>
                  </w:tcBorders>
                  <w:shd w:val="clear" w:color="auto" w:fill="FFFFFF"/>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FIP</w:t>
                  </w:r>
                </w:p>
              </w:tc>
              <w:tc>
                <w:tcPr>
                  <w:tcW w:w="601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left"/>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GAGTACCAAAGCTTGCAAATGCGCACTTACATTGTCAACAAGG</w:t>
                  </w:r>
                </w:p>
              </w:tc>
            </w:tr>
            <w:tr>
              <w:tblPrEx>
                <w:tblCellMar>
                  <w:top w:w="0" w:type="dxa"/>
                  <w:left w:w="0" w:type="dxa"/>
                  <w:bottom w:w="0" w:type="dxa"/>
                  <w:right w:w="0" w:type="dxa"/>
                </w:tblCellMar>
              </w:tblPrEx>
              <w:trPr>
                <w:trHeight w:val="270" w:hRule="atLeast"/>
              </w:trPr>
              <w:tc>
                <w:tcPr>
                  <w:tcW w:w="5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968" w:type="dxa"/>
                  <w:vMerge w:val="continue"/>
                  <w:tcBorders>
                    <w:left w:val="single" w:color="000000" w:sz="4" w:space="0"/>
                    <w:right w:val="single" w:color="000000" w:sz="4" w:space="0"/>
                  </w:tcBorders>
                  <w:shd w:val="clear" w:color="auto" w:fill="FFFFFF"/>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BIP</w:t>
                  </w:r>
                </w:p>
              </w:tc>
              <w:tc>
                <w:tcPr>
                  <w:tcW w:w="601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left"/>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AGGAGGTAGTTGTCAGAATTTTTCTTAGAGTTTACCTCAGAAACTATCG</w:t>
                  </w:r>
                </w:p>
              </w:tc>
            </w:tr>
            <w:tr>
              <w:tblPrEx>
                <w:tblCellMar>
                  <w:top w:w="0" w:type="dxa"/>
                  <w:left w:w="0" w:type="dxa"/>
                  <w:bottom w:w="0" w:type="dxa"/>
                  <w:right w:w="0" w:type="dxa"/>
                </w:tblCellMar>
              </w:tblPrEx>
              <w:trPr>
                <w:trHeight w:val="270" w:hRule="atLeast"/>
              </w:trPr>
              <w:tc>
                <w:tcPr>
                  <w:tcW w:w="5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968" w:type="dxa"/>
                  <w:vMerge w:val="continue"/>
                  <w:tcBorders>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LB</w:t>
                  </w:r>
                </w:p>
              </w:tc>
              <w:tc>
                <w:tcPr>
                  <w:tcW w:w="601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left"/>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AGAGGAAACTGCCATGCACC</w:t>
                  </w:r>
                </w:p>
              </w:tc>
            </w:tr>
            <w:tr>
              <w:tblPrEx>
                <w:tblCellMar>
                  <w:top w:w="0" w:type="dxa"/>
                  <w:left w:w="0" w:type="dxa"/>
                  <w:bottom w:w="0" w:type="dxa"/>
                  <w:right w:w="0" w:type="dxa"/>
                </w:tblCellMar>
              </w:tblPrEx>
              <w:trPr>
                <w:trHeight w:val="270" w:hRule="atLeast"/>
              </w:trPr>
              <w:tc>
                <w:tcPr>
                  <w:tcW w:w="54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核桃</w:t>
                  </w:r>
                </w:p>
              </w:tc>
              <w:tc>
                <w:tcPr>
                  <w:tcW w:w="968" w:type="dxa"/>
                  <w:vMerge w:val="restart"/>
                  <w:tcBorders>
                    <w:left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i/>
                      <w:iCs/>
                      <w:color w:val="000000"/>
                      <w:sz w:val="20"/>
                      <w:szCs w:val="20"/>
                      <w:highlight w:val="none"/>
                      <w:lang w:bidi="ar"/>
                    </w:rPr>
                    <w:t>vicilin-like protein precursor</w:t>
                  </w:r>
                </w:p>
              </w:tc>
              <w:tc>
                <w:tcPr>
                  <w:tcW w:w="115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lang w:bidi="ar"/>
                    </w:rPr>
                  </w:pPr>
                  <w:r>
                    <w:rPr>
                      <w:rFonts w:hint="default" w:ascii="Times New Roman" w:hAnsi="Times New Roman" w:eastAsia="宋体" w:cs="Times New Roman"/>
                      <w:bCs/>
                      <w:color w:val="000000"/>
                      <w:sz w:val="20"/>
                      <w:szCs w:val="20"/>
                      <w:highlight w:val="none"/>
                      <w:lang w:bidi="ar"/>
                    </w:rPr>
                    <w:t>F3</w:t>
                  </w:r>
                </w:p>
              </w:tc>
              <w:tc>
                <w:tcPr>
                  <w:tcW w:w="601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left"/>
                    <w:textAlignment w:val="center"/>
                    <w:rPr>
                      <w:rFonts w:hint="default" w:ascii="Times New Roman" w:hAnsi="Times New Roman" w:eastAsia="宋体" w:cs="Times New Roman"/>
                      <w:bCs/>
                      <w:color w:val="000000"/>
                      <w:sz w:val="20"/>
                      <w:szCs w:val="20"/>
                      <w:highlight w:val="none"/>
                      <w:lang w:bidi="ar"/>
                    </w:rPr>
                  </w:pPr>
                  <w:r>
                    <w:rPr>
                      <w:rFonts w:hint="default" w:ascii="Times New Roman" w:hAnsi="Times New Roman" w:eastAsia="宋体" w:cs="Times New Roman"/>
                      <w:bCs/>
                      <w:color w:val="000000"/>
                      <w:sz w:val="20"/>
                      <w:szCs w:val="20"/>
                      <w:highlight w:val="none"/>
                      <w:lang w:bidi="ar"/>
                    </w:rPr>
                    <w:t>TCCCAGAGCATTAGGTCGA</w:t>
                  </w:r>
                </w:p>
              </w:tc>
            </w:tr>
            <w:tr>
              <w:tblPrEx>
                <w:tblCellMar>
                  <w:top w:w="0" w:type="dxa"/>
                  <w:left w:w="0" w:type="dxa"/>
                  <w:bottom w:w="0" w:type="dxa"/>
                  <w:right w:w="0" w:type="dxa"/>
                </w:tblCellMar>
              </w:tblPrEx>
              <w:trPr>
                <w:trHeight w:val="270" w:hRule="atLeast"/>
              </w:trPr>
              <w:tc>
                <w:tcPr>
                  <w:tcW w:w="54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968" w:type="dxa"/>
                  <w:vMerge w:val="continue"/>
                  <w:tcBorders>
                    <w:left w:val="single" w:color="000000" w:sz="4" w:space="0"/>
                    <w:right w:val="single" w:color="000000" w:sz="4" w:space="0"/>
                  </w:tcBorders>
                  <w:shd w:val="clear" w:color="auto" w:fill="FFFFFF"/>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lang w:bidi="ar"/>
                    </w:rPr>
                  </w:pPr>
                  <w:r>
                    <w:rPr>
                      <w:rFonts w:hint="default" w:ascii="Times New Roman" w:hAnsi="Times New Roman" w:eastAsia="宋体" w:cs="Times New Roman"/>
                      <w:bCs/>
                      <w:color w:val="000000"/>
                      <w:sz w:val="20"/>
                      <w:szCs w:val="20"/>
                      <w:highlight w:val="none"/>
                      <w:lang w:bidi="ar"/>
                    </w:rPr>
                    <w:t>B3</w:t>
                  </w:r>
                </w:p>
              </w:tc>
              <w:tc>
                <w:tcPr>
                  <w:tcW w:w="601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left"/>
                    <w:textAlignment w:val="center"/>
                    <w:rPr>
                      <w:rFonts w:hint="default" w:ascii="Times New Roman" w:hAnsi="Times New Roman" w:eastAsia="宋体" w:cs="Times New Roman"/>
                      <w:bCs/>
                      <w:color w:val="000000"/>
                      <w:sz w:val="20"/>
                      <w:szCs w:val="20"/>
                      <w:highlight w:val="none"/>
                      <w:lang w:bidi="ar"/>
                    </w:rPr>
                  </w:pPr>
                  <w:r>
                    <w:rPr>
                      <w:rFonts w:hint="default" w:ascii="Times New Roman" w:hAnsi="Times New Roman" w:eastAsia="宋体" w:cs="Times New Roman"/>
                      <w:bCs/>
                      <w:color w:val="000000"/>
                      <w:sz w:val="20"/>
                      <w:szCs w:val="20"/>
                      <w:highlight w:val="none"/>
                      <w:lang w:bidi="ar"/>
                    </w:rPr>
                    <w:t>ACTAAGGTGAGGGTCGCC</w:t>
                  </w:r>
                </w:p>
              </w:tc>
            </w:tr>
            <w:tr>
              <w:tblPrEx>
                <w:tblCellMar>
                  <w:top w:w="0" w:type="dxa"/>
                  <w:left w:w="0" w:type="dxa"/>
                  <w:bottom w:w="0" w:type="dxa"/>
                  <w:right w:w="0" w:type="dxa"/>
                </w:tblCellMar>
              </w:tblPrEx>
              <w:trPr>
                <w:trHeight w:val="270" w:hRule="atLeast"/>
              </w:trPr>
              <w:tc>
                <w:tcPr>
                  <w:tcW w:w="54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968" w:type="dxa"/>
                  <w:vMerge w:val="continue"/>
                  <w:tcBorders>
                    <w:left w:val="single" w:color="000000" w:sz="4" w:space="0"/>
                    <w:right w:val="single" w:color="000000" w:sz="4" w:space="0"/>
                  </w:tcBorders>
                  <w:shd w:val="clear" w:color="auto" w:fill="FFFFFF"/>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lang w:bidi="ar"/>
                    </w:rPr>
                  </w:pPr>
                  <w:r>
                    <w:rPr>
                      <w:rFonts w:hint="default" w:ascii="Times New Roman" w:hAnsi="Times New Roman" w:eastAsia="宋体" w:cs="Times New Roman"/>
                      <w:bCs/>
                      <w:color w:val="000000"/>
                      <w:sz w:val="20"/>
                      <w:szCs w:val="20"/>
                      <w:highlight w:val="none"/>
                      <w:lang w:bidi="ar"/>
                    </w:rPr>
                    <w:t>FIP</w:t>
                  </w:r>
                </w:p>
              </w:tc>
              <w:tc>
                <w:tcPr>
                  <w:tcW w:w="601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left"/>
                    <w:textAlignment w:val="center"/>
                    <w:rPr>
                      <w:rFonts w:hint="default" w:ascii="Times New Roman" w:hAnsi="Times New Roman" w:eastAsia="宋体" w:cs="Times New Roman"/>
                      <w:bCs/>
                      <w:color w:val="000000"/>
                      <w:sz w:val="20"/>
                      <w:szCs w:val="20"/>
                      <w:highlight w:val="none"/>
                      <w:lang w:bidi="ar"/>
                    </w:rPr>
                  </w:pPr>
                  <w:r>
                    <w:rPr>
                      <w:rFonts w:hint="default" w:ascii="Times New Roman" w:hAnsi="Times New Roman" w:eastAsia="宋体" w:cs="Times New Roman"/>
                      <w:bCs/>
                      <w:color w:val="000000"/>
                      <w:sz w:val="20"/>
                      <w:szCs w:val="20"/>
                      <w:highlight w:val="none"/>
                      <w:lang w:bidi="ar"/>
                    </w:rPr>
                    <w:t>CACGAAGGAGCTCGGTTCTCTCTGAGTCCGAGGAAGGTGAAG</w:t>
                  </w:r>
                </w:p>
              </w:tc>
            </w:tr>
            <w:tr>
              <w:tblPrEx>
                <w:tblCellMar>
                  <w:top w:w="0" w:type="dxa"/>
                  <w:left w:w="0" w:type="dxa"/>
                  <w:bottom w:w="0" w:type="dxa"/>
                  <w:right w:w="0" w:type="dxa"/>
                </w:tblCellMar>
              </w:tblPrEx>
              <w:trPr>
                <w:trHeight w:val="270" w:hRule="atLeast"/>
              </w:trPr>
              <w:tc>
                <w:tcPr>
                  <w:tcW w:w="54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968" w:type="dxa"/>
                  <w:vMerge w:val="continue"/>
                  <w:tcBorders>
                    <w:left w:val="single" w:color="000000" w:sz="4" w:space="0"/>
                    <w:right w:val="single" w:color="000000" w:sz="4" w:space="0"/>
                  </w:tcBorders>
                  <w:shd w:val="clear" w:color="auto" w:fill="FFFFFF"/>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lang w:bidi="ar"/>
                    </w:rPr>
                  </w:pPr>
                  <w:r>
                    <w:rPr>
                      <w:rFonts w:hint="default" w:ascii="Times New Roman" w:hAnsi="Times New Roman" w:eastAsia="宋体" w:cs="Times New Roman"/>
                      <w:bCs/>
                      <w:color w:val="000000"/>
                      <w:sz w:val="20"/>
                      <w:szCs w:val="20"/>
                      <w:highlight w:val="none"/>
                      <w:lang w:bidi="ar"/>
                    </w:rPr>
                    <w:t>BIP</w:t>
                  </w:r>
                </w:p>
              </w:tc>
              <w:tc>
                <w:tcPr>
                  <w:tcW w:w="601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left"/>
                    <w:textAlignment w:val="center"/>
                    <w:rPr>
                      <w:rFonts w:hint="default" w:ascii="Times New Roman" w:hAnsi="Times New Roman" w:eastAsia="宋体" w:cs="Times New Roman"/>
                      <w:bCs/>
                      <w:color w:val="000000"/>
                      <w:sz w:val="20"/>
                      <w:szCs w:val="20"/>
                      <w:highlight w:val="none"/>
                      <w:lang w:bidi="ar"/>
                    </w:rPr>
                  </w:pPr>
                  <w:r>
                    <w:rPr>
                      <w:rFonts w:hint="default" w:ascii="Times New Roman" w:hAnsi="Times New Roman" w:eastAsia="宋体" w:cs="Times New Roman"/>
                      <w:bCs/>
                      <w:color w:val="000000"/>
                      <w:sz w:val="20"/>
                      <w:szCs w:val="20"/>
                      <w:highlight w:val="none"/>
                      <w:lang w:bidi="ar"/>
                    </w:rPr>
                    <w:t>TCCTAACACCTCCATGCTCCCATCCTCTTGTGACTACGGCA</w:t>
                  </w:r>
                </w:p>
              </w:tc>
            </w:tr>
            <w:tr>
              <w:tblPrEx>
                <w:tblCellMar>
                  <w:top w:w="0" w:type="dxa"/>
                  <w:left w:w="0" w:type="dxa"/>
                  <w:bottom w:w="0" w:type="dxa"/>
                  <w:right w:w="0" w:type="dxa"/>
                </w:tblCellMar>
              </w:tblPrEx>
              <w:trPr>
                <w:trHeight w:val="270" w:hRule="atLeast"/>
              </w:trPr>
              <w:tc>
                <w:tcPr>
                  <w:tcW w:w="54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968" w:type="dxa"/>
                  <w:vMerge w:val="continue"/>
                  <w:tcBorders>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lang w:bidi="ar"/>
                    </w:rPr>
                  </w:pPr>
                  <w:r>
                    <w:rPr>
                      <w:rFonts w:hint="default" w:ascii="Times New Roman" w:hAnsi="Times New Roman" w:eastAsia="宋体" w:cs="Times New Roman"/>
                      <w:bCs/>
                      <w:color w:val="000000"/>
                      <w:sz w:val="20"/>
                      <w:szCs w:val="20"/>
                      <w:highlight w:val="none"/>
                      <w:lang w:bidi="ar"/>
                    </w:rPr>
                    <w:t>LF</w:t>
                  </w:r>
                </w:p>
              </w:tc>
              <w:tc>
                <w:tcPr>
                  <w:tcW w:w="601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left"/>
                    <w:textAlignment w:val="center"/>
                    <w:rPr>
                      <w:rFonts w:hint="default" w:ascii="Times New Roman" w:hAnsi="Times New Roman" w:eastAsia="宋体" w:cs="Times New Roman"/>
                      <w:bCs/>
                      <w:color w:val="000000"/>
                      <w:sz w:val="20"/>
                      <w:szCs w:val="20"/>
                      <w:highlight w:val="none"/>
                      <w:lang w:bidi="ar"/>
                    </w:rPr>
                  </w:pPr>
                  <w:r>
                    <w:rPr>
                      <w:rFonts w:hint="default" w:ascii="Times New Roman" w:hAnsi="Times New Roman" w:eastAsia="宋体" w:cs="Times New Roman"/>
                      <w:bCs/>
                      <w:color w:val="000000"/>
                      <w:sz w:val="20"/>
                      <w:szCs w:val="20"/>
                      <w:highlight w:val="none"/>
                      <w:lang w:bidi="ar"/>
                    </w:rPr>
                    <w:t>CATCACAAAGATGCGGAATCTGT</w:t>
                  </w:r>
                </w:p>
              </w:tc>
            </w:tr>
            <w:tr>
              <w:tblPrEx>
                <w:tblCellMar>
                  <w:top w:w="0" w:type="dxa"/>
                  <w:left w:w="0" w:type="dxa"/>
                  <w:bottom w:w="0" w:type="dxa"/>
                  <w:right w:w="0" w:type="dxa"/>
                </w:tblCellMar>
              </w:tblPrEx>
              <w:trPr>
                <w:trHeight w:val="270" w:hRule="atLeast"/>
              </w:trPr>
              <w:tc>
                <w:tcPr>
                  <w:tcW w:w="54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榛子</w:t>
                  </w:r>
                </w:p>
              </w:tc>
              <w:tc>
                <w:tcPr>
                  <w:tcW w:w="968" w:type="dxa"/>
                  <w:vMerge w:val="restart"/>
                  <w:tcBorders>
                    <w:top w:val="single" w:color="000000" w:sz="4" w:space="0"/>
                    <w:left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lang w:bidi="ar"/>
                    </w:rPr>
                  </w:pPr>
                  <w:r>
                    <w:rPr>
                      <w:rFonts w:hint="default" w:ascii="Times New Roman" w:hAnsi="Times New Roman" w:eastAsia="宋体" w:cs="Times New Roman"/>
                      <w:bCs/>
                      <w:i/>
                      <w:iCs/>
                      <w:color w:val="000000"/>
                      <w:sz w:val="20"/>
                      <w:szCs w:val="20"/>
                      <w:highlight w:val="none"/>
                      <w:lang w:bidi="ar"/>
                    </w:rPr>
                    <w:t>Ca8</w:t>
                  </w:r>
                </w:p>
              </w:tc>
              <w:tc>
                <w:tcPr>
                  <w:tcW w:w="115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F3</w:t>
                  </w:r>
                </w:p>
              </w:tc>
              <w:tc>
                <w:tcPr>
                  <w:tcW w:w="601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left"/>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CATGAGTCTGATCTCTCTTCA</w:t>
                  </w:r>
                </w:p>
              </w:tc>
            </w:tr>
            <w:tr>
              <w:tblPrEx>
                <w:tblCellMar>
                  <w:top w:w="0" w:type="dxa"/>
                  <w:left w:w="0" w:type="dxa"/>
                  <w:bottom w:w="0" w:type="dxa"/>
                  <w:right w:w="0" w:type="dxa"/>
                </w:tblCellMar>
              </w:tblPrEx>
              <w:trPr>
                <w:trHeight w:val="270" w:hRule="atLeast"/>
              </w:trPr>
              <w:tc>
                <w:tcPr>
                  <w:tcW w:w="54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968" w:type="dxa"/>
                  <w:vMerge w:val="continue"/>
                  <w:tcBorders>
                    <w:left w:val="single" w:color="000000" w:sz="4" w:space="0"/>
                    <w:right w:val="single" w:color="000000" w:sz="4" w:space="0"/>
                  </w:tcBorders>
                  <w:shd w:val="clear" w:color="auto" w:fill="FFFFFF"/>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B3</w:t>
                  </w:r>
                </w:p>
              </w:tc>
              <w:tc>
                <w:tcPr>
                  <w:tcW w:w="601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left"/>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GTGAGCGTAGCTGTGAGA</w:t>
                  </w:r>
                </w:p>
              </w:tc>
            </w:tr>
            <w:tr>
              <w:tblPrEx>
                <w:tblCellMar>
                  <w:top w:w="0" w:type="dxa"/>
                  <w:left w:w="0" w:type="dxa"/>
                  <w:bottom w:w="0" w:type="dxa"/>
                  <w:right w:w="0" w:type="dxa"/>
                </w:tblCellMar>
              </w:tblPrEx>
              <w:trPr>
                <w:trHeight w:val="270" w:hRule="atLeast"/>
              </w:trPr>
              <w:tc>
                <w:tcPr>
                  <w:tcW w:w="54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968" w:type="dxa"/>
                  <w:vMerge w:val="continue"/>
                  <w:tcBorders>
                    <w:left w:val="single" w:color="000000" w:sz="4" w:space="0"/>
                    <w:right w:val="single" w:color="000000" w:sz="4" w:space="0"/>
                  </w:tcBorders>
                  <w:shd w:val="clear" w:color="auto" w:fill="FFFFFF"/>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FIP</w:t>
                  </w:r>
                </w:p>
              </w:tc>
              <w:tc>
                <w:tcPr>
                  <w:tcW w:w="601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left"/>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TTGCATGTAGACGAAGGGGCACAGACTTAAATCAGACAAAAAGC</w:t>
                  </w:r>
                </w:p>
              </w:tc>
            </w:tr>
            <w:tr>
              <w:tblPrEx>
                <w:tblCellMar>
                  <w:top w:w="0" w:type="dxa"/>
                  <w:left w:w="0" w:type="dxa"/>
                  <w:bottom w:w="0" w:type="dxa"/>
                  <w:right w:w="0" w:type="dxa"/>
                </w:tblCellMar>
              </w:tblPrEx>
              <w:trPr>
                <w:trHeight w:val="270" w:hRule="atLeast"/>
              </w:trPr>
              <w:tc>
                <w:tcPr>
                  <w:tcW w:w="54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968" w:type="dxa"/>
                  <w:vMerge w:val="continue"/>
                  <w:tcBorders>
                    <w:left w:val="single" w:color="000000" w:sz="4" w:space="0"/>
                    <w:right w:val="single" w:color="000000" w:sz="4" w:space="0"/>
                  </w:tcBorders>
                  <w:shd w:val="clear" w:color="auto" w:fill="FFFFFF"/>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BIP</w:t>
                  </w:r>
                </w:p>
              </w:tc>
              <w:tc>
                <w:tcPr>
                  <w:tcW w:w="601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left"/>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CTGCATGAAAACTTCCTAACACGTGGGTTTTATATAGAAGGAGGCT</w:t>
                  </w:r>
                </w:p>
              </w:tc>
            </w:tr>
            <w:tr>
              <w:tblPrEx>
                <w:tblCellMar>
                  <w:top w:w="0" w:type="dxa"/>
                  <w:left w:w="0" w:type="dxa"/>
                  <w:bottom w:w="0" w:type="dxa"/>
                  <w:right w:w="0" w:type="dxa"/>
                </w:tblCellMar>
              </w:tblPrEx>
              <w:trPr>
                <w:trHeight w:val="270" w:hRule="atLeast"/>
              </w:trPr>
              <w:tc>
                <w:tcPr>
                  <w:tcW w:w="54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968" w:type="dxa"/>
                  <w:vMerge w:val="continue"/>
                  <w:tcBorders>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LB</w:t>
                  </w:r>
                </w:p>
              </w:tc>
              <w:tc>
                <w:tcPr>
                  <w:tcW w:w="601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left"/>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CCCCTTTTTCAACACGCACC</w:t>
                  </w:r>
                </w:p>
              </w:tc>
            </w:tr>
            <w:tr>
              <w:tblPrEx>
                <w:tblCellMar>
                  <w:top w:w="0" w:type="dxa"/>
                  <w:left w:w="0" w:type="dxa"/>
                  <w:bottom w:w="0" w:type="dxa"/>
                  <w:right w:w="0" w:type="dxa"/>
                </w:tblCellMar>
              </w:tblPrEx>
              <w:trPr>
                <w:trHeight w:val="270" w:hRule="atLeast"/>
              </w:trPr>
              <w:tc>
                <w:tcPr>
                  <w:tcW w:w="54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花生</w:t>
                  </w:r>
                </w:p>
              </w:tc>
              <w:tc>
                <w:tcPr>
                  <w:tcW w:w="968" w:type="dxa"/>
                  <w:vMerge w:val="restart"/>
                  <w:tcBorders>
                    <w:top w:val="single" w:color="000000" w:sz="4" w:space="0"/>
                    <w:left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lang w:bidi="ar"/>
                    </w:rPr>
                  </w:pPr>
                  <w:r>
                    <w:rPr>
                      <w:rFonts w:hint="default" w:ascii="Times New Roman" w:hAnsi="Times New Roman" w:eastAsia="宋体" w:cs="Times New Roman"/>
                      <w:i/>
                      <w:iCs/>
                      <w:sz w:val="20"/>
                      <w:szCs w:val="22"/>
                      <w:highlight w:val="none"/>
                      <w:lang w:val="en-US" w:eastAsia="zh-CN"/>
                    </w:rPr>
                    <w:t>Arah 2.02</w:t>
                  </w:r>
                </w:p>
              </w:tc>
              <w:tc>
                <w:tcPr>
                  <w:tcW w:w="115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F3</w:t>
                  </w:r>
                </w:p>
              </w:tc>
              <w:tc>
                <w:tcPr>
                  <w:tcW w:w="6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left"/>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AACATCTCATTGATTATACCACA</w:t>
                  </w:r>
                </w:p>
              </w:tc>
            </w:tr>
            <w:tr>
              <w:tblPrEx>
                <w:tblCellMar>
                  <w:top w:w="0" w:type="dxa"/>
                  <w:left w:w="0" w:type="dxa"/>
                  <w:bottom w:w="0" w:type="dxa"/>
                  <w:right w:w="0" w:type="dxa"/>
                </w:tblCellMar>
              </w:tblPrEx>
              <w:trPr>
                <w:trHeight w:val="270" w:hRule="atLeast"/>
              </w:trPr>
              <w:tc>
                <w:tcPr>
                  <w:tcW w:w="5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968" w:type="dxa"/>
                  <w:vMerge w:val="continue"/>
                  <w:tcBorders>
                    <w:left w:val="single" w:color="000000" w:sz="4" w:space="0"/>
                    <w:right w:val="single" w:color="000000" w:sz="4" w:space="0"/>
                  </w:tcBorders>
                  <w:shd w:val="clear" w:color="auto" w:fill="FFFFFF"/>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B3</w:t>
                  </w:r>
                </w:p>
              </w:tc>
              <w:tc>
                <w:tcPr>
                  <w:tcW w:w="6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left"/>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GGTATTTATAGGTGAAAGGAGG</w:t>
                  </w:r>
                </w:p>
              </w:tc>
            </w:tr>
            <w:tr>
              <w:tblPrEx>
                <w:tblCellMar>
                  <w:top w:w="0" w:type="dxa"/>
                  <w:left w:w="0" w:type="dxa"/>
                  <w:bottom w:w="0" w:type="dxa"/>
                  <w:right w:w="0" w:type="dxa"/>
                </w:tblCellMar>
              </w:tblPrEx>
              <w:trPr>
                <w:trHeight w:val="270" w:hRule="atLeast"/>
              </w:trPr>
              <w:tc>
                <w:tcPr>
                  <w:tcW w:w="5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968" w:type="dxa"/>
                  <w:vMerge w:val="continue"/>
                  <w:tcBorders>
                    <w:left w:val="single" w:color="000000" w:sz="4" w:space="0"/>
                    <w:right w:val="single" w:color="000000" w:sz="4" w:space="0"/>
                  </w:tcBorders>
                  <w:shd w:val="clear" w:color="auto" w:fill="FFFFFF"/>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FIP</w:t>
                  </w:r>
                </w:p>
              </w:tc>
              <w:tc>
                <w:tcPr>
                  <w:tcW w:w="6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left"/>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CTTCCACGTTACATTTTCATGCAAAACAACATGGCATGCTTAGG</w:t>
                  </w:r>
                </w:p>
              </w:tc>
            </w:tr>
            <w:tr>
              <w:tblPrEx>
                <w:tblCellMar>
                  <w:top w:w="0" w:type="dxa"/>
                  <w:left w:w="0" w:type="dxa"/>
                  <w:bottom w:w="0" w:type="dxa"/>
                  <w:right w:w="0" w:type="dxa"/>
                </w:tblCellMar>
              </w:tblPrEx>
              <w:trPr>
                <w:trHeight w:val="270" w:hRule="atLeast"/>
              </w:trPr>
              <w:tc>
                <w:tcPr>
                  <w:tcW w:w="5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968" w:type="dxa"/>
                  <w:vMerge w:val="continue"/>
                  <w:tcBorders>
                    <w:left w:val="single" w:color="000000" w:sz="4" w:space="0"/>
                    <w:right w:val="single" w:color="000000" w:sz="4" w:space="0"/>
                  </w:tcBorders>
                  <w:shd w:val="clear" w:color="auto" w:fill="FFFFFF"/>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BIP</w:t>
                  </w:r>
                </w:p>
              </w:tc>
              <w:tc>
                <w:tcPr>
                  <w:tcW w:w="6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left"/>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TAATGAAGCAAACACAGCCACCATTTTGCATGTGAGGTACG</w:t>
                  </w:r>
                </w:p>
              </w:tc>
            </w:tr>
            <w:tr>
              <w:tblPrEx>
                <w:tblCellMar>
                  <w:top w:w="0" w:type="dxa"/>
                  <w:left w:w="0" w:type="dxa"/>
                  <w:bottom w:w="0" w:type="dxa"/>
                  <w:right w:w="0" w:type="dxa"/>
                </w:tblCellMar>
              </w:tblPrEx>
              <w:trPr>
                <w:trHeight w:val="270" w:hRule="atLeast"/>
              </w:trPr>
              <w:tc>
                <w:tcPr>
                  <w:tcW w:w="5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968" w:type="dxa"/>
                  <w:vMerge w:val="continue"/>
                  <w:tcBorders>
                    <w:left w:val="single" w:color="000000" w:sz="4" w:space="0"/>
                    <w:right w:val="single" w:color="000000" w:sz="4" w:space="0"/>
                  </w:tcBorders>
                  <w:shd w:val="clear" w:color="auto" w:fill="FFFFFF"/>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LF</w:t>
                  </w:r>
                </w:p>
              </w:tc>
              <w:tc>
                <w:tcPr>
                  <w:tcW w:w="6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left"/>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GTCCAAGATGCCTTTTTGTTTGGTA</w:t>
                  </w:r>
                </w:p>
              </w:tc>
            </w:tr>
            <w:tr>
              <w:tblPrEx>
                <w:tblCellMar>
                  <w:top w:w="0" w:type="dxa"/>
                  <w:left w:w="0" w:type="dxa"/>
                  <w:bottom w:w="0" w:type="dxa"/>
                  <w:right w:w="0" w:type="dxa"/>
                </w:tblCellMar>
              </w:tblPrEx>
              <w:trPr>
                <w:trHeight w:val="270" w:hRule="atLeast"/>
              </w:trPr>
              <w:tc>
                <w:tcPr>
                  <w:tcW w:w="5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968" w:type="dxa"/>
                  <w:vMerge w:val="continue"/>
                  <w:tcBorders>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LB</w:t>
                  </w:r>
                </w:p>
              </w:tc>
              <w:tc>
                <w:tcPr>
                  <w:tcW w:w="6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left"/>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CTCCTTCCCCCTTTCCCTT</w:t>
                  </w:r>
                </w:p>
              </w:tc>
            </w:tr>
            <w:tr>
              <w:tblPrEx>
                <w:tblCellMar>
                  <w:top w:w="0" w:type="dxa"/>
                  <w:left w:w="0" w:type="dxa"/>
                  <w:bottom w:w="0" w:type="dxa"/>
                  <w:right w:w="0" w:type="dxa"/>
                </w:tblCellMar>
              </w:tblPrEx>
              <w:trPr>
                <w:trHeight w:val="270" w:hRule="atLeast"/>
              </w:trPr>
              <w:tc>
                <w:tcPr>
                  <w:tcW w:w="54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杏仁</w:t>
                  </w:r>
                </w:p>
              </w:tc>
              <w:tc>
                <w:tcPr>
                  <w:tcW w:w="968"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lang w:bidi="ar"/>
                    </w:rPr>
                  </w:pPr>
                  <w:r>
                    <w:rPr>
                      <w:rFonts w:hint="default" w:ascii="Times New Roman" w:hAnsi="Times New Roman" w:eastAsia="宋体" w:cs="Times New Roman"/>
                      <w:bCs/>
                      <w:i/>
                      <w:iCs/>
                      <w:color w:val="000000"/>
                      <w:sz w:val="20"/>
                      <w:szCs w:val="20"/>
                      <w:highlight w:val="none"/>
                      <w:lang w:bidi="ar"/>
                    </w:rPr>
                    <w:t>PR5-1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F3</w:t>
                  </w:r>
                </w:p>
              </w:tc>
              <w:tc>
                <w:tcPr>
                  <w:tcW w:w="6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left"/>
                    <w:textAlignment w:val="center"/>
                    <w:rPr>
                      <w:rFonts w:hint="default" w:ascii="Times New Roman" w:hAnsi="Times New Roman" w:eastAsia="宋体" w:cs="Times New Roman"/>
                      <w:bCs/>
                      <w:color w:val="000000"/>
                      <w:sz w:val="20"/>
                      <w:szCs w:val="20"/>
                      <w:highlight w:val="none"/>
                      <w:lang w:bidi="ar"/>
                    </w:rPr>
                  </w:pPr>
                  <w:r>
                    <w:rPr>
                      <w:rFonts w:hint="default" w:ascii="Times New Roman" w:hAnsi="Times New Roman" w:eastAsia="宋体" w:cs="Times New Roman"/>
                      <w:bCs/>
                      <w:color w:val="000000"/>
                      <w:sz w:val="20"/>
                      <w:szCs w:val="20"/>
                      <w:highlight w:val="none"/>
                      <w:lang w:bidi="ar"/>
                    </w:rPr>
                    <w:t>TCAACCACAGGGTTCAAGTT</w:t>
                  </w:r>
                </w:p>
              </w:tc>
            </w:tr>
            <w:tr>
              <w:tblPrEx>
                <w:tblCellMar>
                  <w:top w:w="0" w:type="dxa"/>
                  <w:left w:w="0" w:type="dxa"/>
                  <w:bottom w:w="0" w:type="dxa"/>
                  <w:right w:w="0" w:type="dxa"/>
                </w:tblCellMar>
              </w:tblPrEx>
              <w:trPr>
                <w:trHeight w:val="336" w:hRule="atLeast"/>
              </w:trPr>
              <w:tc>
                <w:tcPr>
                  <w:tcW w:w="54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968"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B3</w:t>
                  </w:r>
                </w:p>
              </w:tc>
              <w:tc>
                <w:tcPr>
                  <w:tcW w:w="6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left"/>
                    <w:textAlignment w:val="center"/>
                    <w:rPr>
                      <w:rFonts w:hint="default" w:ascii="Times New Roman" w:hAnsi="Times New Roman" w:eastAsia="宋体" w:cs="Times New Roman"/>
                      <w:bCs/>
                      <w:color w:val="000000"/>
                      <w:sz w:val="20"/>
                      <w:szCs w:val="20"/>
                      <w:highlight w:val="none"/>
                      <w:lang w:bidi="ar"/>
                    </w:rPr>
                  </w:pPr>
                  <w:r>
                    <w:rPr>
                      <w:rFonts w:hint="default" w:ascii="Times New Roman" w:hAnsi="Times New Roman" w:eastAsia="宋体" w:cs="Times New Roman"/>
                      <w:bCs/>
                      <w:color w:val="000000"/>
                      <w:sz w:val="20"/>
                      <w:szCs w:val="20"/>
                      <w:highlight w:val="none"/>
                      <w:lang w:bidi="ar"/>
                    </w:rPr>
                    <w:t>GCTAAAGTTGTCGGCGGAAT</w:t>
                  </w:r>
                </w:p>
              </w:tc>
            </w:tr>
            <w:tr>
              <w:tblPrEx>
                <w:tblCellMar>
                  <w:top w:w="0" w:type="dxa"/>
                  <w:left w:w="0" w:type="dxa"/>
                  <w:bottom w:w="0" w:type="dxa"/>
                  <w:right w:w="0" w:type="dxa"/>
                </w:tblCellMar>
              </w:tblPrEx>
              <w:trPr>
                <w:trHeight w:val="270" w:hRule="atLeast"/>
              </w:trPr>
              <w:tc>
                <w:tcPr>
                  <w:tcW w:w="54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968"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FIP</w:t>
                  </w:r>
                </w:p>
              </w:tc>
              <w:tc>
                <w:tcPr>
                  <w:tcW w:w="6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left"/>
                    <w:textAlignment w:val="center"/>
                    <w:rPr>
                      <w:rFonts w:hint="default" w:ascii="Times New Roman" w:hAnsi="Times New Roman" w:eastAsia="宋体" w:cs="Times New Roman"/>
                      <w:bCs/>
                      <w:color w:val="000000"/>
                      <w:sz w:val="20"/>
                      <w:szCs w:val="20"/>
                      <w:highlight w:val="none"/>
                      <w:lang w:bidi="ar"/>
                    </w:rPr>
                  </w:pPr>
                  <w:r>
                    <w:rPr>
                      <w:rFonts w:hint="default" w:ascii="Times New Roman" w:hAnsi="Times New Roman" w:eastAsia="宋体" w:cs="Times New Roman"/>
                      <w:bCs/>
                      <w:color w:val="000000"/>
                      <w:sz w:val="20"/>
                      <w:szCs w:val="20"/>
                      <w:highlight w:val="none"/>
                      <w:lang w:bidi="ar"/>
                    </w:rPr>
                    <w:t>CATCCAGTTCGGGCCCAGAAG-CCCCATGCTAGATTCAAGCT</w:t>
                  </w:r>
                </w:p>
              </w:tc>
            </w:tr>
            <w:tr>
              <w:tblPrEx>
                <w:tblCellMar>
                  <w:top w:w="0" w:type="dxa"/>
                  <w:left w:w="0" w:type="dxa"/>
                  <w:bottom w:w="0" w:type="dxa"/>
                  <w:right w:w="0" w:type="dxa"/>
                </w:tblCellMar>
              </w:tblPrEx>
              <w:trPr>
                <w:trHeight w:val="270" w:hRule="atLeast"/>
              </w:trPr>
              <w:tc>
                <w:tcPr>
                  <w:tcW w:w="54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968"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115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BIP</w:t>
                  </w:r>
                </w:p>
              </w:tc>
              <w:tc>
                <w:tcPr>
                  <w:tcW w:w="601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left"/>
                    <w:textAlignment w:val="center"/>
                    <w:rPr>
                      <w:rFonts w:hint="default" w:ascii="Times New Roman" w:hAnsi="Times New Roman" w:eastAsia="宋体" w:cs="Times New Roman"/>
                      <w:bCs/>
                      <w:color w:val="000000"/>
                      <w:sz w:val="20"/>
                      <w:szCs w:val="20"/>
                      <w:highlight w:val="none"/>
                      <w:lang w:bidi="ar"/>
                    </w:rPr>
                  </w:pPr>
                  <w:r>
                    <w:rPr>
                      <w:rFonts w:hint="default" w:ascii="Times New Roman" w:hAnsi="Times New Roman" w:eastAsia="宋体" w:cs="Times New Roman"/>
                      <w:bCs/>
                      <w:color w:val="000000"/>
                      <w:sz w:val="20"/>
                      <w:szCs w:val="20"/>
                      <w:highlight w:val="none"/>
                      <w:lang w:bidi="ar"/>
                    </w:rPr>
                    <w:t>TATGGAAAGTTCGTCTGCGCCA-GACCGTTACCGTTGCACTT</w:t>
                  </w:r>
                </w:p>
              </w:tc>
            </w:tr>
            <w:tr>
              <w:tblPrEx>
                <w:tblCellMar>
                  <w:top w:w="0" w:type="dxa"/>
                  <w:left w:w="0" w:type="dxa"/>
                  <w:bottom w:w="0" w:type="dxa"/>
                  <w:right w:w="0" w:type="dxa"/>
                </w:tblCellMar>
              </w:tblPrEx>
              <w:trPr>
                <w:trHeight w:val="270" w:hRule="atLeast"/>
              </w:trPr>
              <w:tc>
                <w:tcPr>
                  <w:tcW w:w="54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968"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115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lang w:bidi="ar"/>
                    </w:rPr>
                  </w:pPr>
                  <w:r>
                    <w:rPr>
                      <w:rFonts w:hint="default" w:ascii="Times New Roman" w:hAnsi="Times New Roman" w:eastAsia="宋体" w:cs="Times New Roman"/>
                      <w:bCs/>
                      <w:color w:val="000000"/>
                      <w:sz w:val="20"/>
                      <w:szCs w:val="20"/>
                      <w:highlight w:val="none"/>
                      <w:lang w:bidi="ar"/>
                    </w:rPr>
                    <w:t>LF</w:t>
                  </w:r>
                </w:p>
              </w:tc>
              <w:tc>
                <w:tcPr>
                  <w:tcW w:w="601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left"/>
                    <w:textAlignment w:val="center"/>
                    <w:rPr>
                      <w:rFonts w:hint="default" w:ascii="Times New Roman" w:hAnsi="Times New Roman" w:eastAsia="宋体" w:cs="Times New Roman"/>
                      <w:bCs/>
                      <w:color w:val="000000"/>
                      <w:sz w:val="20"/>
                      <w:szCs w:val="20"/>
                      <w:highlight w:val="none"/>
                      <w:lang w:bidi="ar"/>
                    </w:rPr>
                  </w:pPr>
                  <w:r>
                    <w:rPr>
                      <w:rFonts w:hint="default" w:ascii="Times New Roman" w:hAnsi="Times New Roman" w:eastAsia="宋体" w:cs="Times New Roman"/>
                      <w:bCs/>
                      <w:color w:val="000000"/>
                      <w:sz w:val="20"/>
                      <w:szCs w:val="20"/>
                      <w:highlight w:val="none"/>
                      <w:lang w:bidi="ar"/>
                    </w:rPr>
                    <w:t>ATGGCACCGGAGTGTGT</w:t>
                  </w:r>
                </w:p>
              </w:tc>
            </w:tr>
            <w:tr>
              <w:tblPrEx>
                <w:tblCellMar>
                  <w:top w:w="0" w:type="dxa"/>
                  <w:left w:w="0" w:type="dxa"/>
                  <w:bottom w:w="0" w:type="dxa"/>
                  <w:right w:w="0" w:type="dxa"/>
                </w:tblCellMar>
              </w:tblPrEx>
              <w:trPr>
                <w:trHeight w:val="270" w:hRule="atLeast"/>
              </w:trPr>
              <w:tc>
                <w:tcPr>
                  <w:tcW w:w="545" w:type="dxa"/>
                  <w:vMerge w:val="continue"/>
                  <w:tcBorders>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968" w:type="dxa"/>
                  <w:vMerge w:val="continue"/>
                  <w:tcBorders>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115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lang w:bidi="ar"/>
                    </w:rPr>
                  </w:pPr>
                  <w:r>
                    <w:rPr>
                      <w:rFonts w:hint="default" w:ascii="Times New Roman" w:hAnsi="Times New Roman" w:eastAsia="宋体" w:cs="Times New Roman"/>
                      <w:bCs/>
                      <w:color w:val="000000"/>
                      <w:sz w:val="20"/>
                      <w:szCs w:val="20"/>
                      <w:highlight w:val="none"/>
                      <w:lang w:bidi="ar"/>
                    </w:rPr>
                    <w:t>LB</w:t>
                  </w:r>
                </w:p>
              </w:tc>
              <w:tc>
                <w:tcPr>
                  <w:tcW w:w="601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left"/>
                    <w:textAlignment w:val="center"/>
                    <w:rPr>
                      <w:rFonts w:hint="default" w:ascii="Times New Roman" w:hAnsi="Times New Roman" w:eastAsia="宋体" w:cs="Times New Roman"/>
                      <w:bCs/>
                      <w:color w:val="000000"/>
                      <w:sz w:val="20"/>
                      <w:szCs w:val="20"/>
                      <w:highlight w:val="none"/>
                      <w:lang w:bidi="ar"/>
                    </w:rPr>
                  </w:pPr>
                  <w:r>
                    <w:rPr>
                      <w:rFonts w:hint="default" w:ascii="Times New Roman" w:hAnsi="Times New Roman" w:eastAsia="宋体" w:cs="Times New Roman"/>
                      <w:bCs/>
                      <w:color w:val="000000"/>
                      <w:sz w:val="20"/>
                      <w:szCs w:val="20"/>
                      <w:highlight w:val="none"/>
                      <w:lang w:bidi="ar"/>
                    </w:rPr>
                    <w:t>CAGACTGTGCCTCCGGTCAG</w:t>
                  </w:r>
                </w:p>
              </w:tc>
            </w:tr>
            <w:tr>
              <w:tblPrEx>
                <w:tblCellMar>
                  <w:top w:w="0" w:type="dxa"/>
                  <w:left w:w="0" w:type="dxa"/>
                  <w:bottom w:w="0" w:type="dxa"/>
                  <w:right w:w="0" w:type="dxa"/>
                </w:tblCellMar>
              </w:tblPrEx>
              <w:trPr>
                <w:trHeight w:val="332" w:hRule="atLeast"/>
              </w:trPr>
              <w:tc>
                <w:tcPr>
                  <w:tcW w:w="545" w:type="dxa"/>
                  <w:vMerge w:val="restart"/>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椰子</w:t>
                  </w:r>
                </w:p>
              </w:tc>
              <w:tc>
                <w:tcPr>
                  <w:tcW w:w="968" w:type="dxa"/>
                  <w:vMerge w:val="restart"/>
                  <w:tcBorders>
                    <w:top w:val="single" w:color="auto"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lang w:bidi="ar"/>
                    </w:rPr>
                  </w:pPr>
                  <w:r>
                    <w:rPr>
                      <w:rFonts w:hint="default" w:ascii="Times New Roman" w:hAnsi="Times New Roman" w:eastAsia="宋体" w:cs="Times New Roman"/>
                      <w:bCs/>
                      <w:i/>
                      <w:iCs/>
                      <w:color w:val="000000"/>
                      <w:sz w:val="20"/>
                      <w:szCs w:val="20"/>
                      <w:highlight w:val="none"/>
                      <w:lang w:bidi="ar"/>
                    </w:rPr>
                    <w:t>Hd3a</w:t>
                  </w:r>
                </w:p>
              </w:tc>
              <w:tc>
                <w:tcPr>
                  <w:tcW w:w="1155" w:type="dxa"/>
                  <w:tcBorders>
                    <w:top w:val="single" w:color="auto"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F3</w:t>
                  </w:r>
                </w:p>
              </w:tc>
              <w:tc>
                <w:tcPr>
                  <w:tcW w:w="6015" w:type="dxa"/>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widowControl/>
                    <w:autoSpaceDE/>
                    <w:autoSpaceDN/>
                    <w:adjustRightInd/>
                    <w:spacing w:line="240" w:lineRule="auto"/>
                    <w:jc w:val="left"/>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CTCCAAGTCCAAGTGACC</w:t>
                  </w:r>
                </w:p>
              </w:tc>
            </w:tr>
            <w:tr>
              <w:tblPrEx>
                <w:tblCellMar>
                  <w:top w:w="0" w:type="dxa"/>
                  <w:left w:w="0" w:type="dxa"/>
                  <w:bottom w:w="0" w:type="dxa"/>
                  <w:right w:w="0" w:type="dxa"/>
                </w:tblCellMar>
              </w:tblPrEx>
              <w:trPr>
                <w:trHeight w:val="270" w:hRule="atLeast"/>
              </w:trPr>
              <w:tc>
                <w:tcPr>
                  <w:tcW w:w="545" w:type="dxa"/>
                  <w:vMerge w:val="continue"/>
                  <w:tcBorders>
                    <w:top w:val="single" w:color="auto"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968" w:type="dxa"/>
                  <w:vMerge w:val="continue"/>
                  <w:tcBorders>
                    <w:top w:val="single" w:color="auto" w:sz="4" w:space="0"/>
                    <w:left w:val="single" w:color="000000"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1155"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B3</w:t>
                  </w:r>
                </w:p>
              </w:tc>
              <w:tc>
                <w:tcPr>
                  <w:tcW w:w="6015"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left"/>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GTGGAGCTAGTTTTGTTCC</w:t>
                  </w:r>
                </w:p>
              </w:tc>
            </w:tr>
            <w:tr>
              <w:tblPrEx>
                <w:tblCellMar>
                  <w:top w:w="0" w:type="dxa"/>
                  <w:left w:w="0" w:type="dxa"/>
                  <w:bottom w:w="0" w:type="dxa"/>
                  <w:right w:w="0" w:type="dxa"/>
                </w:tblCellMar>
              </w:tblPrEx>
              <w:trPr>
                <w:trHeight w:val="270" w:hRule="atLeast"/>
              </w:trPr>
              <w:tc>
                <w:tcPr>
                  <w:tcW w:w="545" w:type="dxa"/>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968"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FIP</w:t>
                  </w:r>
                </w:p>
              </w:tc>
              <w:tc>
                <w:tcPr>
                  <w:tcW w:w="6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left"/>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CATGGCTTCCCGATGGGTACCTCAGGGAGTATTTGCACTG</w:t>
                  </w:r>
                </w:p>
              </w:tc>
            </w:tr>
            <w:tr>
              <w:tblPrEx>
                <w:tblCellMar>
                  <w:top w:w="0" w:type="dxa"/>
                  <w:left w:w="0" w:type="dxa"/>
                  <w:bottom w:w="0" w:type="dxa"/>
                  <w:right w:w="0" w:type="dxa"/>
                </w:tblCellMar>
              </w:tblPrEx>
              <w:trPr>
                <w:trHeight w:val="270" w:hRule="atLeast"/>
              </w:trPr>
              <w:tc>
                <w:tcPr>
                  <w:tcW w:w="545" w:type="dxa"/>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968"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BIP</w:t>
                  </w:r>
                </w:p>
              </w:tc>
              <w:tc>
                <w:tcPr>
                  <w:tcW w:w="6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left"/>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GCTATATATTGGGCCGGACTTCGCAATCTCTTCTCTTCCTTGT</w:t>
                  </w:r>
                </w:p>
              </w:tc>
            </w:tr>
            <w:tr>
              <w:tblPrEx>
                <w:tblCellMar>
                  <w:top w:w="0" w:type="dxa"/>
                  <w:left w:w="0" w:type="dxa"/>
                  <w:bottom w:w="0" w:type="dxa"/>
                  <w:right w:w="0" w:type="dxa"/>
                </w:tblCellMar>
              </w:tblPrEx>
              <w:trPr>
                <w:trHeight w:val="270" w:hRule="atLeast"/>
              </w:trPr>
              <w:tc>
                <w:tcPr>
                  <w:tcW w:w="545" w:type="dxa"/>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968"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utoSpaceDE/>
                    <w:autoSpaceDN/>
                    <w:adjustRightInd/>
                    <w:spacing w:line="240" w:lineRule="auto"/>
                    <w:jc w:val="center"/>
                    <w:rPr>
                      <w:rFonts w:hint="default" w:ascii="Times New Roman" w:hAnsi="Times New Roman" w:eastAsia="宋体" w:cs="Times New Roman"/>
                      <w:bCs/>
                      <w:color w:val="000000"/>
                      <w:sz w:val="20"/>
                      <w:szCs w:val="20"/>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center"/>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LF</w:t>
                  </w:r>
                </w:p>
              </w:tc>
              <w:tc>
                <w:tcPr>
                  <w:tcW w:w="6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utoSpaceDE/>
                    <w:autoSpaceDN/>
                    <w:adjustRightInd/>
                    <w:spacing w:line="240" w:lineRule="auto"/>
                    <w:jc w:val="left"/>
                    <w:textAlignment w:val="center"/>
                    <w:rPr>
                      <w:rFonts w:hint="default" w:ascii="Times New Roman" w:hAnsi="Times New Roman" w:eastAsia="宋体" w:cs="Times New Roman"/>
                      <w:bCs/>
                      <w:color w:val="000000"/>
                      <w:sz w:val="20"/>
                      <w:szCs w:val="20"/>
                      <w:highlight w:val="none"/>
                    </w:rPr>
                  </w:pPr>
                  <w:r>
                    <w:rPr>
                      <w:rFonts w:hint="default" w:ascii="Times New Roman" w:hAnsi="Times New Roman" w:eastAsia="宋体" w:cs="Times New Roman"/>
                      <w:bCs/>
                      <w:color w:val="000000"/>
                      <w:sz w:val="20"/>
                      <w:szCs w:val="20"/>
                      <w:highlight w:val="none"/>
                      <w:lang w:bidi="ar"/>
                    </w:rPr>
                    <w:t>ACTCTTCAGCGGGTGCTTAC</w:t>
                  </w:r>
                </w:p>
              </w:tc>
            </w:tr>
          </w:tbl>
          <w:p>
            <w:pPr>
              <w:keepNext w:val="0"/>
              <w:keepLines w:val="0"/>
              <w:pageBreakBefore w:val="0"/>
              <w:kinsoku/>
              <w:wordWrap/>
              <w:overflowPunct/>
              <w:topLinePunct w:val="0"/>
              <w:bidi w:val="0"/>
              <w:spacing w:line="440" w:lineRule="exact"/>
              <w:ind w:firstLine="422" w:firstLineChars="200"/>
              <w:rPr>
                <w:rFonts w:hint="default" w:ascii="Times New Roman" w:hAnsi="Times New Roman" w:cs="Times New Roman"/>
                <w:b/>
                <w:bCs/>
                <w:color w:val="000000"/>
                <w:sz w:val="21"/>
                <w:szCs w:val="21"/>
                <w:lang w:val="en-US" w:eastAsia="zh-CN"/>
              </w:rPr>
            </w:pPr>
            <w:r>
              <w:rPr>
                <w:rFonts w:hint="default" w:ascii="Times New Roman" w:hAnsi="Times New Roman" w:cs="Times New Roman"/>
                <w:b/>
                <w:bCs/>
                <w:color w:val="000000"/>
                <w:sz w:val="21"/>
                <w:szCs w:val="21"/>
                <w:lang w:val="en-US" w:eastAsia="zh-CN"/>
              </w:rPr>
              <w:t>4.2 检测试剂预混液（附录A）</w:t>
            </w:r>
          </w:p>
          <w:p>
            <w:pPr>
              <w:adjustRightInd/>
              <w:spacing w:before="163" w:beforeLines="50" w:after="163" w:afterLines="50" w:line="360" w:lineRule="auto"/>
              <w:ind w:firstLine="420" w:firstLineChars="200"/>
              <w:jc w:val="left"/>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通过查询相关文献，甜菜碱浓度、dNTPs浓度、镁离子浓度、</w:t>
            </w:r>
            <w:r>
              <w:rPr>
                <w:rFonts w:hint="default" w:ascii="Times New Roman" w:hAnsi="Times New Roman" w:eastAsia="宋体" w:cs="Times New Roman"/>
                <w:i/>
                <w:iCs/>
                <w:szCs w:val="24"/>
                <w:highlight w:val="none"/>
              </w:rPr>
              <w:t>Bst</w:t>
            </w:r>
            <w:r>
              <w:rPr>
                <w:rFonts w:hint="default" w:ascii="Times New Roman" w:hAnsi="Times New Roman" w:eastAsia="宋体" w:cs="Times New Roman"/>
                <w:szCs w:val="24"/>
                <w:highlight w:val="none"/>
              </w:rPr>
              <w:t>聚合酶，染料浓度是影响LAMP扩增效果的重要因素，因此，标准起草组在研究过程中，通过各种成分</w:t>
            </w:r>
            <w:r>
              <w:rPr>
                <w:rFonts w:hint="default" w:ascii="Times New Roman" w:hAnsi="Times New Roman" w:eastAsia="宋体" w:cs="Times New Roman"/>
                <w:szCs w:val="24"/>
                <w:highlight w:val="none"/>
                <w:lang w:val="en-US" w:eastAsia="zh-CN"/>
              </w:rPr>
              <w:t>不同浓度</w:t>
            </w:r>
            <w:r>
              <w:rPr>
                <w:rFonts w:hint="default" w:ascii="Times New Roman" w:hAnsi="Times New Roman" w:eastAsia="宋体" w:cs="Times New Roman"/>
                <w:szCs w:val="24"/>
                <w:highlight w:val="none"/>
              </w:rPr>
              <w:t>多个水平正交实验，首先开展单个靶标的特异性检测、灵敏度检测、稳定性检测、实际样品检测，确定每个单一成分的最优体系组合，最后对整个体系进行优化，调整具有明显差异的成分浓度，最终确定植物蛋白饮料6种植物源性成分微流控芯片检测的最佳LAMP恒温扩增体系，详见表2。</w:t>
            </w:r>
          </w:p>
          <w:p>
            <w:pPr>
              <w:autoSpaceDE/>
              <w:autoSpaceDN/>
              <w:spacing w:line="360" w:lineRule="auto"/>
              <w:ind w:firstLine="420" w:firstLineChars="200"/>
              <w:jc w:val="center"/>
              <w:rPr>
                <w:rFonts w:hint="default" w:ascii="Times New Roman" w:hAnsi="Times New Roman" w:eastAsia="黑体" w:cs="Times New Roman"/>
                <w:sz w:val="21"/>
                <w:szCs w:val="21"/>
                <w:highlight w:val="none"/>
              </w:rPr>
            </w:pPr>
            <w:r>
              <w:rPr>
                <w:rFonts w:hint="default" w:ascii="Times New Roman" w:hAnsi="Times New Roman" w:eastAsia="黑体" w:cs="Times New Roman"/>
                <w:sz w:val="21"/>
                <w:szCs w:val="21"/>
                <w:highlight w:val="none"/>
              </w:rPr>
              <w:t>表2 数字微流控芯片检测试剂预混液组分表</w:t>
            </w:r>
          </w:p>
          <w:tbl>
            <w:tblPr>
              <w:tblStyle w:val="7"/>
              <w:tblW w:w="8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1"/>
              <w:gridCol w:w="3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61" w:type="dxa"/>
                  <w:vAlign w:val="center"/>
                </w:tcPr>
                <w:p>
                  <w:pPr>
                    <w:autoSpaceDE/>
                    <w:autoSpaceDN/>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组分</w:t>
                  </w:r>
                </w:p>
              </w:tc>
              <w:tc>
                <w:tcPr>
                  <w:tcW w:w="3922" w:type="dxa"/>
                  <w:vAlign w:val="center"/>
                </w:tcPr>
                <w:p>
                  <w:pPr>
                    <w:autoSpaceDE/>
                    <w:autoSpaceDN/>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体积（μL）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461" w:type="dxa"/>
                  <w:vAlign w:val="center"/>
                </w:tcPr>
                <w:p>
                  <w:pPr>
                    <w:autoSpaceDE/>
                    <w:autoSpaceDN/>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LAMP恒温荧光扩增预混液（含甜菜碱、dNTPs、MgSO</w:t>
                  </w:r>
                  <w:r>
                    <w:rPr>
                      <w:rFonts w:hint="default" w:ascii="Times New Roman" w:hAnsi="Times New Roman" w:eastAsia="宋体" w:cs="Times New Roman"/>
                      <w:sz w:val="21"/>
                      <w:szCs w:val="21"/>
                      <w:highlight w:val="none"/>
                      <w:vertAlign w:val="subscript"/>
                    </w:rPr>
                    <w:t>4</w:t>
                  </w:r>
                  <w:r>
                    <w:rPr>
                      <w:rFonts w:hint="default" w:ascii="Times New Roman" w:hAnsi="Times New Roman" w:eastAsia="宋体" w:cs="Times New Roman"/>
                      <w:sz w:val="21"/>
                      <w:szCs w:val="21"/>
                      <w:highlight w:val="none"/>
                    </w:rPr>
                    <w:t>、</w:t>
                  </w:r>
                  <w:r>
                    <w:rPr>
                      <w:rFonts w:hint="default" w:ascii="Times New Roman" w:hAnsi="Times New Roman" w:eastAsia="宋体" w:cs="Times New Roman"/>
                      <w:i/>
                      <w:iCs/>
                      <w:sz w:val="21"/>
                      <w:szCs w:val="21"/>
                      <w:highlight w:val="none"/>
                    </w:rPr>
                    <w:t>Bst</w:t>
                  </w:r>
                  <w:r>
                    <w:rPr>
                      <w:rFonts w:hint="default" w:ascii="Times New Roman" w:hAnsi="Times New Roman" w:eastAsia="宋体" w:cs="Times New Roman"/>
                      <w:sz w:val="21"/>
                      <w:szCs w:val="21"/>
                      <w:highlight w:val="none"/>
                    </w:rPr>
                    <w:t>聚合酶、SYTO-9染料）</w:t>
                  </w:r>
                </w:p>
              </w:tc>
              <w:tc>
                <w:tcPr>
                  <w:tcW w:w="3922" w:type="dxa"/>
                  <w:vAlign w:val="center"/>
                </w:tcPr>
                <w:p>
                  <w:pPr>
                    <w:autoSpaceDE/>
                    <w:autoSpaceDN/>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461" w:type="dxa"/>
                  <w:vAlign w:val="center"/>
                </w:tcPr>
                <w:p>
                  <w:pPr>
                    <w:autoSpaceDE/>
                    <w:autoSpaceDN/>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样品DNA模板</w:t>
                  </w:r>
                </w:p>
              </w:tc>
              <w:tc>
                <w:tcPr>
                  <w:tcW w:w="3922" w:type="dxa"/>
                  <w:vAlign w:val="center"/>
                </w:tcPr>
                <w:p>
                  <w:pPr>
                    <w:autoSpaceDE/>
                    <w:autoSpaceDN/>
                    <w:spacing w:line="240" w:lineRule="auto"/>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461" w:type="dxa"/>
                  <w:vAlign w:val="center"/>
                </w:tcPr>
                <w:p>
                  <w:pPr>
                    <w:autoSpaceDE/>
                    <w:autoSpaceDN/>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总体积</w:t>
                  </w:r>
                </w:p>
              </w:tc>
              <w:tc>
                <w:tcPr>
                  <w:tcW w:w="3922" w:type="dxa"/>
                  <w:vAlign w:val="center"/>
                </w:tcPr>
                <w:p>
                  <w:pPr>
                    <w:autoSpaceDE/>
                    <w:autoSpaceDN/>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383" w:type="dxa"/>
                  <w:gridSpan w:val="2"/>
                  <w:vAlign w:val="center"/>
                </w:tcPr>
                <w:p>
                  <w:pPr>
                    <w:autoSpaceDE/>
                    <w:autoSpaceDN/>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注：引物已预先固定到微流控芯片上，最终微流控芯片中的反应体系含反应所需的引物。</w:t>
                  </w:r>
                </w:p>
              </w:tc>
            </w:tr>
          </w:tbl>
          <w:p>
            <w:pPr>
              <w:autoSpaceDE/>
              <w:autoSpaceDN/>
              <w:spacing w:line="360" w:lineRule="auto"/>
              <w:ind w:firstLine="420" w:firstLineChars="200"/>
              <w:jc w:val="center"/>
              <w:rPr>
                <w:rFonts w:hint="default" w:ascii="Times New Roman" w:hAnsi="Times New Roman" w:eastAsia="宋体" w:cs="Times New Roman"/>
                <w:szCs w:val="24"/>
                <w:highlight w:val="none"/>
              </w:rPr>
            </w:pPr>
          </w:p>
          <w:p>
            <w:pPr>
              <w:autoSpaceDE/>
              <w:autoSpaceDN/>
              <w:spacing w:line="360" w:lineRule="auto"/>
              <w:ind w:firstLine="420" w:firstLineChars="20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芯片中预包埋引物</w:t>
            </w:r>
            <w:r>
              <w:rPr>
                <w:rFonts w:hint="default" w:ascii="Times New Roman" w:hAnsi="Times New Roman" w:eastAsia="宋体" w:cs="Times New Roman"/>
                <w:sz w:val="21"/>
                <w:szCs w:val="21"/>
                <w:highlight w:val="none"/>
                <w:lang w:val="en-US" w:eastAsia="zh-CN"/>
              </w:rPr>
              <w:t>混合液</w:t>
            </w:r>
            <w:r>
              <w:rPr>
                <w:rFonts w:hint="default" w:ascii="Times New Roman" w:hAnsi="Times New Roman" w:eastAsia="宋体" w:cs="Times New Roman"/>
                <w:sz w:val="21"/>
                <w:szCs w:val="21"/>
                <w:highlight w:val="none"/>
              </w:rPr>
              <w:t>总计为1μL</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val="en-US" w:eastAsia="zh-CN"/>
              </w:rPr>
              <w:t>通过查询相关文献及实验验证，</w:t>
            </w:r>
            <w:r>
              <w:rPr>
                <w:rFonts w:hint="default" w:ascii="Times New Roman" w:hAnsi="Times New Roman" w:eastAsia="宋体" w:cs="Times New Roman"/>
                <w:sz w:val="21"/>
                <w:szCs w:val="21"/>
                <w:highlight w:val="none"/>
              </w:rPr>
              <w:t>各引物</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val="en-US" w:eastAsia="zh-CN"/>
              </w:rPr>
              <w:t>内引物（FIP/BIP）、外引物（F3/B3）、环引物（LB/LF）</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val="en-US" w:eastAsia="zh-CN"/>
              </w:rPr>
              <w:t>含量最佳比例为8：1：4</w:t>
            </w:r>
            <w:r>
              <w:rPr>
                <w:rFonts w:hint="default" w:ascii="Times New Roman" w:hAnsi="Times New Roman" w:eastAsia="宋体" w:cs="Times New Roman"/>
                <w:sz w:val="21"/>
                <w:szCs w:val="21"/>
                <w:highlight w:val="none"/>
              </w:rPr>
              <w:t>，按照表3组合</w:t>
            </w:r>
            <w:r>
              <w:rPr>
                <w:rFonts w:hint="default" w:ascii="Times New Roman" w:hAnsi="Times New Roman" w:eastAsia="宋体" w:cs="Times New Roman"/>
                <w:sz w:val="21"/>
                <w:szCs w:val="21"/>
                <w:highlight w:val="none"/>
                <w:lang w:val="en-US" w:eastAsia="zh-CN"/>
              </w:rPr>
              <w:t>配制引物混合物</w:t>
            </w:r>
            <w:r>
              <w:rPr>
                <w:rFonts w:hint="default" w:ascii="Times New Roman" w:hAnsi="Times New Roman" w:eastAsia="宋体" w:cs="Times New Roman"/>
                <w:sz w:val="21"/>
                <w:szCs w:val="21"/>
                <w:highlight w:val="none"/>
              </w:rPr>
              <w:t>，能达到比较好的</w:t>
            </w:r>
            <w:r>
              <w:rPr>
                <w:rFonts w:hint="default" w:ascii="Times New Roman" w:hAnsi="Times New Roman" w:eastAsia="宋体" w:cs="Times New Roman"/>
                <w:sz w:val="21"/>
                <w:szCs w:val="21"/>
                <w:highlight w:val="none"/>
                <w:lang w:val="en-US" w:eastAsia="zh-CN"/>
              </w:rPr>
              <w:t>扩增</w:t>
            </w:r>
            <w:r>
              <w:rPr>
                <w:rFonts w:hint="default" w:ascii="Times New Roman" w:hAnsi="Times New Roman" w:eastAsia="宋体" w:cs="Times New Roman"/>
                <w:sz w:val="21"/>
                <w:szCs w:val="21"/>
                <w:highlight w:val="none"/>
              </w:rPr>
              <w:t>效率，若有检验靶标</w:t>
            </w:r>
            <w:r>
              <w:rPr>
                <w:rFonts w:hint="default" w:ascii="Times New Roman" w:hAnsi="Times New Roman" w:eastAsia="宋体" w:cs="Times New Roman"/>
                <w:sz w:val="21"/>
                <w:szCs w:val="21"/>
                <w:highlight w:val="none"/>
                <w:lang w:val="en-US" w:eastAsia="zh-CN"/>
              </w:rPr>
              <w:t>无环引物（LF/LB）</w:t>
            </w:r>
            <w:r>
              <w:rPr>
                <w:rFonts w:hint="default" w:ascii="Times New Roman" w:hAnsi="Times New Roman" w:eastAsia="宋体" w:cs="Times New Roman"/>
                <w:sz w:val="21"/>
                <w:szCs w:val="21"/>
                <w:highlight w:val="none"/>
              </w:rPr>
              <w:t>，按照表中体积，用</w:t>
            </w:r>
            <w:r>
              <w:rPr>
                <w:rFonts w:hint="default" w:ascii="Times New Roman" w:hAnsi="Times New Roman" w:eastAsia="宋体" w:cs="Times New Roman"/>
                <w:sz w:val="21"/>
                <w:szCs w:val="21"/>
                <w:highlight w:val="none"/>
                <w:lang w:val="en-US" w:eastAsia="zh-CN"/>
              </w:rPr>
              <w:t>无菌双蒸水</w:t>
            </w:r>
            <w:r>
              <w:rPr>
                <w:rFonts w:hint="default" w:ascii="Times New Roman" w:hAnsi="Times New Roman" w:eastAsia="宋体" w:cs="Times New Roman"/>
                <w:sz w:val="21"/>
                <w:szCs w:val="21"/>
                <w:highlight w:val="none"/>
              </w:rPr>
              <w:t>来代替</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val="en-US" w:eastAsia="zh-CN"/>
              </w:rPr>
              <w:t>表3为一个反应中加入各引物的量，由于一个反应加入各引物的体积非常小，为了减少误差，可根据实际实验样品量，等比例扩大100倍、200倍来配制引物混合液</w:t>
            </w:r>
            <w:r>
              <w:rPr>
                <w:rFonts w:hint="default" w:ascii="Times New Roman" w:hAnsi="Times New Roman" w:eastAsia="宋体" w:cs="Times New Roman"/>
                <w:sz w:val="21"/>
                <w:szCs w:val="21"/>
                <w:highlight w:val="none"/>
              </w:rPr>
              <w:t>。</w:t>
            </w:r>
          </w:p>
          <w:p>
            <w:pPr>
              <w:jc w:val="center"/>
              <w:rPr>
                <w:rFonts w:hint="default" w:ascii="Times New Roman" w:hAnsi="Times New Roman" w:eastAsia="黑体" w:cs="Times New Roman"/>
                <w:sz w:val="21"/>
                <w:szCs w:val="21"/>
                <w:highlight w:val="none"/>
              </w:rPr>
            </w:pPr>
            <w:r>
              <w:rPr>
                <w:rFonts w:hint="default" w:ascii="Times New Roman" w:hAnsi="Times New Roman" w:eastAsia="黑体" w:cs="Times New Roman"/>
                <w:sz w:val="21"/>
                <w:szCs w:val="21"/>
                <w:highlight w:val="none"/>
              </w:rPr>
              <w:t>表3 数字微流控芯片的引物混合固定体系</w:t>
            </w:r>
          </w:p>
          <w:tbl>
            <w:tblPr>
              <w:tblStyle w:val="7"/>
              <w:tblW w:w="7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5"/>
              <w:gridCol w:w="2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5" w:type="dxa"/>
                </w:tcPr>
                <w:p>
                  <w:pPr>
                    <w:autoSpaceDE/>
                    <w:autoSpaceDN/>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组分</w:t>
                  </w:r>
                </w:p>
              </w:tc>
              <w:tc>
                <w:tcPr>
                  <w:tcW w:w="2180" w:type="dxa"/>
                </w:tcPr>
                <w:p>
                  <w:pPr>
                    <w:autoSpaceDE/>
                    <w:autoSpaceDN/>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体积（μL）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5" w:type="dxa"/>
                </w:tcPr>
                <w:p>
                  <w:pPr>
                    <w:autoSpaceDE/>
                    <w:autoSpaceDN/>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F3（Forward Outer Primer）上游外部引物（100</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μ</w:t>
                  </w:r>
                  <w:r>
                    <w:rPr>
                      <w:rFonts w:hint="default" w:ascii="Times New Roman" w:hAnsi="Times New Roman" w:eastAsia="宋体" w:cs="Times New Roman"/>
                      <w:sz w:val="21"/>
                      <w:szCs w:val="21"/>
                      <w:highlight w:val="none"/>
                      <w:lang w:val="en-US" w:eastAsia="zh-CN"/>
                    </w:rPr>
                    <w:t>mol</w:t>
                  </w:r>
                  <w:r>
                    <w:rPr>
                      <w:rFonts w:hint="default" w:ascii="Times New Roman" w:hAnsi="Times New Roman" w:eastAsia="宋体" w:cs="Times New Roman"/>
                      <w:sz w:val="21"/>
                      <w:szCs w:val="21"/>
                      <w:highlight w:val="none"/>
                    </w:rPr>
                    <w:t>/L）</w:t>
                  </w:r>
                </w:p>
              </w:tc>
              <w:tc>
                <w:tcPr>
                  <w:tcW w:w="2180" w:type="dxa"/>
                </w:tcPr>
                <w:p>
                  <w:pPr>
                    <w:autoSpaceDE/>
                    <w:autoSpaceDN/>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5" w:type="dxa"/>
                </w:tcPr>
                <w:p>
                  <w:pPr>
                    <w:autoSpaceDE/>
                    <w:autoSpaceDN/>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B3（Backward Outer Primer）下游外部引物（100</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μ</w:t>
                  </w:r>
                  <w:r>
                    <w:rPr>
                      <w:rFonts w:hint="default" w:ascii="Times New Roman" w:hAnsi="Times New Roman" w:eastAsia="宋体" w:cs="Times New Roman"/>
                      <w:sz w:val="21"/>
                      <w:szCs w:val="21"/>
                      <w:highlight w:val="none"/>
                      <w:lang w:val="en-US" w:eastAsia="zh-CN"/>
                    </w:rPr>
                    <w:t>mol</w:t>
                  </w:r>
                  <w:r>
                    <w:rPr>
                      <w:rFonts w:hint="default" w:ascii="Times New Roman" w:hAnsi="Times New Roman" w:eastAsia="宋体" w:cs="Times New Roman"/>
                      <w:sz w:val="21"/>
                      <w:szCs w:val="21"/>
                      <w:highlight w:val="none"/>
                    </w:rPr>
                    <w:t>/L）</w:t>
                  </w:r>
                </w:p>
              </w:tc>
              <w:tc>
                <w:tcPr>
                  <w:tcW w:w="2180" w:type="dxa"/>
                </w:tcPr>
                <w:p>
                  <w:pPr>
                    <w:autoSpaceDE/>
                    <w:autoSpaceDN/>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475" w:type="dxa"/>
                </w:tcPr>
                <w:p>
                  <w:pPr>
                    <w:autoSpaceDE/>
                    <w:autoSpaceDN/>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FIP（Forward Inner Primer）上游内部引物（200</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μ</w:t>
                  </w:r>
                  <w:r>
                    <w:rPr>
                      <w:rFonts w:hint="default" w:ascii="Times New Roman" w:hAnsi="Times New Roman" w:eastAsia="宋体" w:cs="Times New Roman"/>
                      <w:sz w:val="21"/>
                      <w:szCs w:val="21"/>
                      <w:highlight w:val="none"/>
                      <w:lang w:val="en-US" w:eastAsia="zh-CN"/>
                    </w:rPr>
                    <w:t>mol</w:t>
                  </w:r>
                  <w:r>
                    <w:rPr>
                      <w:rFonts w:hint="default" w:ascii="Times New Roman" w:hAnsi="Times New Roman" w:eastAsia="宋体" w:cs="Times New Roman"/>
                      <w:sz w:val="21"/>
                      <w:szCs w:val="21"/>
                      <w:highlight w:val="none"/>
                    </w:rPr>
                    <w:t>/L）</w:t>
                  </w:r>
                </w:p>
              </w:tc>
              <w:tc>
                <w:tcPr>
                  <w:tcW w:w="2180" w:type="dxa"/>
                </w:tcPr>
                <w:p>
                  <w:pPr>
                    <w:autoSpaceDE/>
                    <w:autoSpaceDN/>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5" w:type="dxa"/>
                </w:tcPr>
                <w:p>
                  <w:pPr>
                    <w:autoSpaceDE/>
                    <w:autoSpaceDN/>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BIP（Backward Inner Primer）下游内部引物（200</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μ</w:t>
                  </w:r>
                  <w:r>
                    <w:rPr>
                      <w:rFonts w:hint="default" w:ascii="Times New Roman" w:hAnsi="Times New Roman" w:eastAsia="宋体" w:cs="Times New Roman"/>
                      <w:sz w:val="21"/>
                      <w:szCs w:val="21"/>
                      <w:highlight w:val="none"/>
                      <w:lang w:val="en-US" w:eastAsia="zh-CN"/>
                    </w:rPr>
                    <w:t>mol</w:t>
                  </w:r>
                  <w:r>
                    <w:rPr>
                      <w:rFonts w:hint="default" w:ascii="Times New Roman" w:hAnsi="Times New Roman" w:eastAsia="宋体" w:cs="Times New Roman"/>
                      <w:sz w:val="21"/>
                      <w:szCs w:val="21"/>
                      <w:highlight w:val="none"/>
                    </w:rPr>
                    <w:t>/L）</w:t>
                  </w:r>
                </w:p>
              </w:tc>
              <w:tc>
                <w:tcPr>
                  <w:tcW w:w="2180" w:type="dxa"/>
                </w:tcPr>
                <w:p>
                  <w:pPr>
                    <w:autoSpaceDE/>
                    <w:autoSpaceDN/>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5" w:type="dxa"/>
                </w:tcPr>
                <w:p>
                  <w:pPr>
                    <w:autoSpaceDE/>
                    <w:autoSpaceDN/>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LF（Forward Ring Primer）上游环引物（200</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μ</w:t>
                  </w:r>
                  <w:r>
                    <w:rPr>
                      <w:rFonts w:hint="default" w:ascii="Times New Roman" w:hAnsi="Times New Roman" w:eastAsia="宋体" w:cs="Times New Roman"/>
                      <w:sz w:val="21"/>
                      <w:szCs w:val="21"/>
                      <w:highlight w:val="none"/>
                      <w:lang w:val="en-US" w:eastAsia="zh-CN"/>
                    </w:rPr>
                    <w:t>mol</w:t>
                  </w:r>
                  <w:r>
                    <w:rPr>
                      <w:rFonts w:hint="default" w:ascii="Times New Roman" w:hAnsi="Times New Roman" w:eastAsia="宋体" w:cs="Times New Roman"/>
                      <w:sz w:val="21"/>
                      <w:szCs w:val="21"/>
                      <w:highlight w:val="none"/>
                    </w:rPr>
                    <w:t>/L）</w:t>
                  </w:r>
                </w:p>
              </w:tc>
              <w:tc>
                <w:tcPr>
                  <w:tcW w:w="2180" w:type="dxa"/>
                </w:tcPr>
                <w:p>
                  <w:pPr>
                    <w:autoSpaceDE/>
                    <w:autoSpaceDN/>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5" w:type="dxa"/>
                </w:tcPr>
                <w:p>
                  <w:pPr>
                    <w:autoSpaceDE/>
                    <w:autoSpaceDN/>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LB（Backward Ring Primer）下游环引物（200</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μ</w:t>
                  </w:r>
                  <w:r>
                    <w:rPr>
                      <w:rFonts w:hint="default" w:ascii="Times New Roman" w:hAnsi="Times New Roman" w:eastAsia="宋体" w:cs="Times New Roman"/>
                      <w:sz w:val="21"/>
                      <w:szCs w:val="21"/>
                      <w:highlight w:val="none"/>
                      <w:lang w:val="en-US" w:eastAsia="zh-CN"/>
                    </w:rPr>
                    <w:t>mol</w:t>
                  </w:r>
                  <w:r>
                    <w:rPr>
                      <w:rFonts w:hint="default" w:ascii="Times New Roman" w:hAnsi="Times New Roman" w:eastAsia="宋体" w:cs="Times New Roman"/>
                      <w:sz w:val="21"/>
                      <w:szCs w:val="21"/>
                      <w:highlight w:val="none"/>
                    </w:rPr>
                    <w:t>/L）</w:t>
                  </w:r>
                </w:p>
              </w:tc>
              <w:tc>
                <w:tcPr>
                  <w:tcW w:w="2180" w:type="dxa"/>
                </w:tcPr>
                <w:p>
                  <w:pPr>
                    <w:autoSpaceDE/>
                    <w:autoSpaceDN/>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475" w:type="dxa"/>
                </w:tcPr>
                <w:p>
                  <w:pPr>
                    <w:autoSpaceDE/>
                    <w:autoSpaceDN/>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ddH</w:t>
                  </w:r>
                  <w:r>
                    <w:rPr>
                      <w:rFonts w:hint="default" w:ascii="Times New Roman" w:hAnsi="Times New Roman" w:eastAsia="宋体" w:cs="Times New Roman"/>
                      <w:sz w:val="21"/>
                      <w:szCs w:val="21"/>
                      <w:highlight w:val="none"/>
                      <w:vertAlign w:val="subscript"/>
                    </w:rPr>
                    <w:t>2</w:t>
                  </w:r>
                  <w:r>
                    <w:rPr>
                      <w:rFonts w:hint="default" w:ascii="Times New Roman" w:hAnsi="Times New Roman" w:eastAsia="宋体" w:cs="Times New Roman"/>
                      <w:sz w:val="21"/>
                      <w:szCs w:val="21"/>
                      <w:highlight w:val="none"/>
                    </w:rPr>
                    <w:t>O</w:t>
                  </w:r>
                </w:p>
              </w:tc>
              <w:tc>
                <w:tcPr>
                  <w:tcW w:w="2180" w:type="dxa"/>
                </w:tcPr>
                <w:p>
                  <w:pPr>
                    <w:autoSpaceDE/>
                    <w:autoSpaceDN/>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0.3</w:t>
                  </w:r>
                </w:p>
              </w:tc>
            </w:tr>
          </w:tbl>
          <w:p>
            <w:pPr>
              <w:keepNext w:val="0"/>
              <w:keepLines w:val="0"/>
              <w:pageBreakBefore w:val="0"/>
              <w:kinsoku/>
              <w:wordWrap/>
              <w:overflowPunct/>
              <w:topLinePunct w:val="0"/>
              <w:bidi w:val="0"/>
              <w:spacing w:line="440" w:lineRule="exact"/>
              <w:ind w:firstLine="422" w:firstLineChars="200"/>
              <w:rPr>
                <w:rFonts w:hint="default" w:ascii="Times New Roman" w:hAnsi="Times New Roman" w:cs="Times New Roman"/>
                <w:b/>
                <w:bCs/>
                <w:color w:val="000000"/>
                <w:sz w:val="21"/>
                <w:szCs w:val="21"/>
                <w:lang w:val="en-US" w:eastAsia="zh-CN"/>
              </w:rPr>
            </w:pPr>
            <w:r>
              <w:rPr>
                <w:rFonts w:hint="default" w:ascii="Times New Roman" w:hAnsi="Times New Roman" w:cs="Times New Roman"/>
                <w:b/>
                <w:bCs/>
                <w:color w:val="000000"/>
                <w:sz w:val="21"/>
                <w:szCs w:val="21"/>
                <w:lang w:val="en-US" w:eastAsia="zh-CN"/>
              </w:rPr>
              <w:t>4.4其他试剂</w:t>
            </w:r>
          </w:p>
          <w:p>
            <w:pPr>
              <w:adjustRightInd/>
              <w:spacing w:before="163" w:beforeLines="50" w:after="163" w:afterLines="50" w:line="360" w:lineRule="auto"/>
              <w:ind w:firstLine="420" w:firstLineChars="200"/>
              <w:jc w:val="left"/>
              <w:rPr>
                <w:rFonts w:hint="default" w:ascii="Times New Roman" w:hAnsi="Times New Roman" w:eastAsia="宋体" w:cs="Times New Roman"/>
                <w:szCs w:val="24"/>
                <w:highlight w:val="none"/>
                <w:lang w:val="en-US" w:eastAsia="zh-CN"/>
              </w:rPr>
            </w:pPr>
            <w:r>
              <w:rPr>
                <w:rFonts w:hint="default" w:ascii="Times New Roman" w:hAnsi="Times New Roman" w:eastAsia="宋体" w:cs="Times New Roman"/>
                <w:szCs w:val="24"/>
                <w:highlight w:val="none"/>
              </w:rPr>
              <w:t>其他相关试剂和材料均采用常规分子检测要求来设置</w:t>
            </w:r>
            <w:bookmarkStart w:id="0" w:name="_Toc361152762"/>
            <w:r>
              <w:rPr>
                <w:rFonts w:hint="default" w:ascii="Times New Roman" w:hAnsi="Times New Roman" w:eastAsia="宋体" w:cs="Times New Roman"/>
                <w:szCs w:val="24"/>
                <w:highlight w:val="none"/>
              </w:rPr>
              <w:t>，所用试剂、耗材均应不含DNA和DNase；试剂为分析纯、生化试剂；实验用水为GB/T 6682中规定的一级水。</w:t>
            </w:r>
            <w:bookmarkEnd w:id="0"/>
            <w:r>
              <w:rPr>
                <w:rFonts w:hint="default" w:ascii="Times New Roman" w:hAnsi="Times New Roman" w:eastAsia="宋体" w:cs="Times New Roman"/>
                <w:szCs w:val="24"/>
                <w:highlight w:val="none"/>
                <w:lang w:val="en-US" w:eastAsia="zh-CN"/>
              </w:rPr>
              <w:t>主要试剂为CTAB提取液（20 g/L CTAB，1.4 mol/L NaCl，20 mmol/L Na</w:t>
            </w:r>
            <w:r>
              <w:rPr>
                <w:rFonts w:hint="default" w:ascii="Times New Roman" w:hAnsi="Times New Roman" w:eastAsia="宋体" w:cs="Times New Roman"/>
                <w:szCs w:val="24"/>
                <w:highlight w:val="none"/>
                <w:vertAlign w:val="subscript"/>
                <w:lang w:val="en-US" w:eastAsia="zh-CN"/>
              </w:rPr>
              <w:t>2</w:t>
            </w:r>
            <w:r>
              <w:rPr>
                <w:rFonts w:hint="default" w:ascii="Times New Roman" w:hAnsi="Times New Roman" w:eastAsia="宋体" w:cs="Times New Roman"/>
                <w:szCs w:val="24"/>
                <w:highlight w:val="none"/>
                <w:lang w:val="en-US" w:eastAsia="zh-CN"/>
              </w:rPr>
              <w:t>EDTA，0.1 mol/L Tris，用10%盐酸调节pH至8.0，121 ℃高压灭菌15 min）；氯仿</w:t>
            </w:r>
            <w:r>
              <w:rPr>
                <w:rFonts w:hint="default" w:ascii="Times New Roman" w:hAnsi="Times New Roman" w:cs="Times New Roman"/>
                <w:szCs w:val="24"/>
                <w:highlight w:val="none"/>
                <w:lang w:val="en-US" w:eastAsia="zh-CN"/>
              </w:rPr>
              <w:t>/</w:t>
            </w:r>
            <w:r>
              <w:rPr>
                <w:rFonts w:hint="default" w:ascii="Times New Roman" w:hAnsi="Times New Roman" w:eastAsia="宋体" w:cs="Times New Roman"/>
                <w:szCs w:val="24"/>
                <w:highlight w:val="none"/>
                <w:lang w:val="en-US" w:eastAsia="zh-CN"/>
              </w:rPr>
              <w:t>异戊醇（V/V，24:1）；三氯甲烷；CTAB沉淀液（5 g/L CTAB ，40 mmol/L NaCl）；NaCl（1 mol/L）；TE溶液（10mmol/L Tris-HCl（pH 8.0），1 mmol/L EDTA（pH 8.0））；RNA 酶（10 mg/μL）；蛋白酶 K（20 mg/mL）；异丙醇；磁珠溶液；去蛋白液；70 %乙醇（V/V）。</w:t>
            </w:r>
          </w:p>
          <w:p>
            <w:pPr>
              <w:keepNext w:val="0"/>
              <w:keepLines w:val="0"/>
              <w:pageBreakBefore w:val="0"/>
              <w:kinsoku/>
              <w:wordWrap/>
              <w:overflowPunct/>
              <w:topLinePunct w:val="0"/>
              <w:bidi w:val="0"/>
              <w:spacing w:line="440" w:lineRule="exact"/>
              <w:ind w:firstLine="422" w:firstLineChars="200"/>
              <w:rPr>
                <w:rFonts w:hint="default" w:ascii="Times New Roman" w:hAnsi="Times New Roman" w:cs="Times New Roman"/>
                <w:b/>
                <w:bCs/>
                <w:color w:val="000000"/>
                <w:sz w:val="21"/>
                <w:szCs w:val="21"/>
                <w:lang w:val="en-US" w:eastAsia="zh-CN"/>
              </w:rPr>
            </w:pPr>
            <w:r>
              <w:rPr>
                <w:rFonts w:hint="default" w:ascii="Times New Roman" w:hAnsi="Times New Roman" w:cs="Times New Roman"/>
                <w:b/>
                <w:bCs/>
                <w:color w:val="000000"/>
                <w:sz w:val="21"/>
                <w:szCs w:val="21"/>
                <w:lang w:val="en-US" w:eastAsia="zh-CN"/>
              </w:rPr>
              <w:t>5.仪器设备</w:t>
            </w:r>
          </w:p>
          <w:p>
            <w:pPr>
              <w:spacing w:before="163" w:beforeLines="50" w:after="163" w:afterLines="50" w:line="360" w:lineRule="auto"/>
              <w:ind w:firstLine="420" w:firstLineChars="200"/>
              <w:jc w:val="left"/>
              <w:rPr>
                <w:rFonts w:hint="default" w:ascii="Times New Roman" w:hAnsi="Times New Roman" w:cs="Times New Roman"/>
              </w:rPr>
            </w:pPr>
            <w:r>
              <w:rPr>
                <w:rFonts w:hint="default" w:ascii="Times New Roman" w:hAnsi="Times New Roman" w:eastAsia="宋体" w:cs="Times New Roman"/>
                <w:szCs w:val="24"/>
                <w:highlight w:val="none"/>
              </w:rPr>
              <w:t>根据本标准方法需求，基本使用分子检测常用仪器设备，一般具备食品分子检测的实验室都能够满足要求。微流控芯片检测仪设备简单、操作方便、价格便宜，容易获得，仪器能够用来作为相同规格芯片的其他靶标检测。具体设备要求如下：冰箱：2</w:t>
            </w:r>
            <w:r>
              <w:rPr>
                <w:rFonts w:hint="default" w:ascii="Times New Roman" w:hAnsi="Times New Roman" w:eastAsia="宋体" w:cs="Times New Roman"/>
                <w:szCs w:val="24"/>
                <w:highlight w:val="none"/>
                <w:lang w:val="en-US" w:eastAsia="zh-CN"/>
              </w:rPr>
              <w:t xml:space="preserve"> </w:t>
            </w:r>
            <w:r>
              <w:rPr>
                <w:rFonts w:hint="default" w:ascii="Times New Roman" w:hAnsi="Times New Roman" w:eastAsia="宋体" w:cs="Times New Roman"/>
                <w:szCs w:val="24"/>
                <w:highlight w:val="none"/>
              </w:rPr>
              <w:t>℃~8</w:t>
            </w:r>
            <w:r>
              <w:rPr>
                <w:rFonts w:hint="default" w:ascii="Times New Roman" w:hAnsi="Times New Roman" w:eastAsia="宋体" w:cs="Times New Roman"/>
                <w:szCs w:val="24"/>
                <w:highlight w:val="none"/>
                <w:lang w:val="en-US" w:eastAsia="zh-CN"/>
              </w:rPr>
              <w:t xml:space="preserve"> </w:t>
            </w:r>
            <w:r>
              <w:rPr>
                <w:rFonts w:hint="default" w:ascii="Times New Roman" w:hAnsi="Times New Roman" w:eastAsia="宋体" w:cs="Times New Roman"/>
                <w:szCs w:val="24"/>
                <w:highlight w:val="none"/>
              </w:rPr>
              <w:t>℃、-20</w:t>
            </w:r>
            <w:r>
              <w:rPr>
                <w:rFonts w:hint="default" w:ascii="Times New Roman" w:hAnsi="Times New Roman" w:eastAsia="宋体" w:cs="Times New Roman"/>
                <w:szCs w:val="24"/>
                <w:highlight w:val="none"/>
                <w:lang w:val="en-US" w:eastAsia="zh-CN"/>
              </w:rPr>
              <w:t xml:space="preserve"> </w:t>
            </w:r>
            <w:r>
              <w:rPr>
                <w:rFonts w:hint="default" w:ascii="Times New Roman" w:hAnsi="Times New Roman" w:eastAsia="宋体" w:cs="Times New Roman"/>
                <w:szCs w:val="24"/>
                <w:highlight w:val="none"/>
              </w:rPr>
              <w:t>℃±5</w:t>
            </w:r>
            <w:r>
              <w:rPr>
                <w:rFonts w:hint="default" w:ascii="Times New Roman" w:hAnsi="Times New Roman" w:eastAsia="宋体" w:cs="Times New Roman"/>
                <w:szCs w:val="24"/>
                <w:highlight w:val="none"/>
                <w:lang w:val="en-US" w:eastAsia="zh-CN"/>
              </w:rPr>
              <w:t xml:space="preserve"> </w:t>
            </w:r>
            <w:r>
              <w:rPr>
                <w:rFonts w:hint="default" w:ascii="Times New Roman" w:hAnsi="Times New Roman" w:eastAsia="宋体" w:cs="Times New Roman"/>
                <w:szCs w:val="24"/>
                <w:highlight w:val="none"/>
              </w:rPr>
              <w:t>℃；漩涡混合仪；电子天平：感量0.1</w:t>
            </w:r>
            <w:r>
              <w:rPr>
                <w:rFonts w:hint="default" w:ascii="Times New Roman" w:hAnsi="Times New Roman" w:eastAsia="宋体" w:cs="Times New Roman"/>
                <w:szCs w:val="24"/>
                <w:highlight w:val="none"/>
                <w:lang w:val="en-US" w:eastAsia="zh-CN"/>
              </w:rPr>
              <w:t xml:space="preserve"> </w:t>
            </w:r>
            <w:r>
              <w:rPr>
                <w:rFonts w:hint="default" w:ascii="Times New Roman" w:hAnsi="Times New Roman" w:eastAsia="宋体" w:cs="Times New Roman"/>
                <w:szCs w:val="24"/>
                <w:highlight w:val="none"/>
              </w:rPr>
              <w:t>g；高速离心机：12 000</w:t>
            </w:r>
            <w:r>
              <w:rPr>
                <w:rFonts w:hint="default" w:ascii="Times New Roman" w:hAnsi="Times New Roman" w:eastAsia="宋体" w:cs="Times New Roman"/>
                <w:szCs w:val="24"/>
                <w:highlight w:val="none"/>
                <w:lang w:val="en-US" w:eastAsia="zh-CN"/>
              </w:rPr>
              <w:t xml:space="preserve"> r</w:t>
            </w:r>
            <w:r>
              <w:rPr>
                <w:rFonts w:hint="default" w:ascii="Times New Roman" w:hAnsi="Times New Roman" w:eastAsia="宋体" w:cs="Times New Roman"/>
                <w:szCs w:val="24"/>
                <w:highlight w:val="none"/>
              </w:rPr>
              <w:t>/min；恒温金属浴；生物安全柜；核酸蛋白分析仪；磁力架；微流控芯片检测仪；微量移液器：0.5</w:t>
            </w:r>
            <w:r>
              <w:rPr>
                <w:rFonts w:hint="default" w:ascii="Times New Roman" w:hAnsi="Times New Roman" w:eastAsia="宋体" w:cs="Times New Roman"/>
                <w:szCs w:val="24"/>
                <w:highlight w:val="none"/>
                <w:lang w:val="en-US" w:eastAsia="zh-CN"/>
              </w:rPr>
              <w:t xml:space="preserve"> </w:t>
            </w:r>
            <w:r>
              <w:rPr>
                <w:rFonts w:hint="default" w:ascii="Times New Roman" w:hAnsi="Times New Roman" w:eastAsia="宋体" w:cs="Times New Roman"/>
                <w:szCs w:val="24"/>
                <w:highlight w:val="none"/>
              </w:rPr>
              <w:t>μL~10</w:t>
            </w:r>
            <w:r>
              <w:rPr>
                <w:rFonts w:hint="default" w:ascii="Times New Roman" w:hAnsi="Times New Roman" w:eastAsia="宋体" w:cs="Times New Roman"/>
                <w:szCs w:val="24"/>
                <w:highlight w:val="none"/>
                <w:lang w:val="en-US" w:eastAsia="zh-CN"/>
              </w:rPr>
              <w:t xml:space="preserve"> </w:t>
            </w:r>
            <w:r>
              <w:rPr>
                <w:rFonts w:hint="default" w:ascii="Times New Roman" w:hAnsi="Times New Roman" w:eastAsia="宋体" w:cs="Times New Roman"/>
                <w:szCs w:val="24"/>
                <w:highlight w:val="none"/>
              </w:rPr>
              <w:t>μL、2</w:t>
            </w:r>
            <w:r>
              <w:rPr>
                <w:rFonts w:hint="default" w:ascii="Times New Roman" w:hAnsi="Times New Roman" w:eastAsia="宋体" w:cs="Times New Roman"/>
                <w:szCs w:val="24"/>
                <w:highlight w:val="none"/>
                <w:lang w:val="en-US" w:eastAsia="zh-CN"/>
              </w:rPr>
              <w:t xml:space="preserve"> </w:t>
            </w:r>
            <w:r>
              <w:rPr>
                <w:rFonts w:hint="default" w:ascii="Times New Roman" w:hAnsi="Times New Roman" w:eastAsia="宋体" w:cs="Times New Roman"/>
                <w:szCs w:val="24"/>
                <w:highlight w:val="none"/>
              </w:rPr>
              <w:t>μL~20</w:t>
            </w:r>
            <w:r>
              <w:rPr>
                <w:rFonts w:hint="default" w:ascii="Times New Roman" w:hAnsi="Times New Roman" w:eastAsia="宋体" w:cs="Times New Roman"/>
                <w:szCs w:val="24"/>
                <w:highlight w:val="none"/>
                <w:lang w:val="en-US" w:eastAsia="zh-CN"/>
              </w:rPr>
              <w:t xml:space="preserve"> </w:t>
            </w:r>
            <w:r>
              <w:rPr>
                <w:rFonts w:hint="default" w:ascii="Times New Roman" w:hAnsi="Times New Roman" w:eastAsia="宋体" w:cs="Times New Roman"/>
                <w:szCs w:val="24"/>
                <w:highlight w:val="none"/>
              </w:rPr>
              <w:t>μL、10</w:t>
            </w:r>
            <w:r>
              <w:rPr>
                <w:rFonts w:hint="default" w:ascii="Times New Roman" w:hAnsi="Times New Roman" w:eastAsia="宋体" w:cs="Times New Roman"/>
                <w:szCs w:val="24"/>
                <w:highlight w:val="none"/>
                <w:lang w:val="en-US" w:eastAsia="zh-CN"/>
              </w:rPr>
              <w:t xml:space="preserve"> </w:t>
            </w:r>
            <w:r>
              <w:rPr>
                <w:rFonts w:hint="default" w:ascii="Times New Roman" w:hAnsi="Times New Roman" w:eastAsia="宋体" w:cs="Times New Roman"/>
                <w:szCs w:val="24"/>
                <w:highlight w:val="none"/>
              </w:rPr>
              <w:t>μL~100</w:t>
            </w:r>
            <w:r>
              <w:rPr>
                <w:rFonts w:hint="default" w:ascii="Times New Roman" w:hAnsi="Times New Roman" w:eastAsia="宋体" w:cs="Times New Roman"/>
                <w:szCs w:val="24"/>
                <w:highlight w:val="none"/>
                <w:lang w:val="en-US" w:eastAsia="zh-CN"/>
              </w:rPr>
              <w:t xml:space="preserve"> </w:t>
            </w:r>
            <w:r>
              <w:rPr>
                <w:rFonts w:hint="default" w:ascii="Times New Roman" w:hAnsi="Times New Roman" w:eastAsia="宋体" w:cs="Times New Roman"/>
                <w:szCs w:val="24"/>
                <w:highlight w:val="none"/>
              </w:rPr>
              <w:t>μL、20</w:t>
            </w:r>
            <w:r>
              <w:rPr>
                <w:rFonts w:hint="default" w:ascii="Times New Roman" w:hAnsi="Times New Roman" w:eastAsia="宋体" w:cs="Times New Roman"/>
                <w:szCs w:val="24"/>
                <w:highlight w:val="none"/>
                <w:lang w:val="en-US" w:eastAsia="zh-CN"/>
              </w:rPr>
              <w:t xml:space="preserve"> </w:t>
            </w:r>
            <w:r>
              <w:rPr>
                <w:rFonts w:hint="default" w:ascii="Times New Roman" w:hAnsi="Times New Roman" w:eastAsia="宋体" w:cs="Times New Roman"/>
                <w:szCs w:val="24"/>
                <w:highlight w:val="none"/>
              </w:rPr>
              <w:t>μL~200</w:t>
            </w:r>
            <w:r>
              <w:rPr>
                <w:rFonts w:hint="default" w:ascii="Times New Roman" w:hAnsi="Times New Roman" w:eastAsia="宋体" w:cs="Times New Roman"/>
                <w:szCs w:val="24"/>
                <w:highlight w:val="none"/>
                <w:lang w:val="en-US" w:eastAsia="zh-CN"/>
              </w:rPr>
              <w:t xml:space="preserve"> </w:t>
            </w:r>
            <w:r>
              <w:rPr>
                <w:rFonts w:hint="default" w:ascii="Times New Roman" w:hAnsi="Times New Roman" w:eastAsia="宋体" w:cs="Times New Roman"/>
                <w:szCs w:val="24"/>
                <w:highlight w:val="none"/>
              </w:rPr>
              <w:t>μL、100</w:t>
            </w:r>
            <w:r>
              <w:rPr>
                <w:rFonts w:hint="default" w:ascii="Times New Roman" w:hAnsi="Times New Roman" w:eastAsia="宋体" w:cs="Times New Roman"/>
                <w:szCs w:val="24"/>
                <w:highlight w:val="none"/>
                <w:lang w:val="en-US" w:eastAsia="zh-CN"/>
              </w:rPr>
              <w:t xml:space="preserve"> </w:t>
            </w:r>
            <w:r>
              <w:rPr>
                <w:rFonts w:hint="default" w:ascii="Times New Roman" w:hAnsi="Times New Roman" w:eastAsia="宋体" w:cs="Times New Roman"/>
                <w:szCs w:val="24"/>
                <w:highlight w:val="none"/>
              </w:rPr>
              <w:t>μL~1000</w:t>
            </w:r>
            <w:r>
              <w:rPr>
                <w:rFonts w:hint="default" w:ascii="Times New Roman" w:hAnsi="Times New Roman" w:eastAsia="宋体" w:cs="Times New Roman"/>
                <w:szCs w:val="24"/>
                <w:highlight w:val="none"/>
                <w:lang w:val="en-US" w:eastAsia="zh-CN"/>
              </w:rPr>
              <w:t xml:space="preserve"> </w:t>
            </w:r>
            <w:r>
              <w:rPr>
                <w:rFonts w:hint="default" w:ascii="Times New Roman" w:hAnsi="Times New Roman" w:eastAsia="宋体" w:cs="Times New Roman"/>
                <w:szCs w:val="24"/>
                <w:highlight w:val="none"/>
              </w:rPr>
              <w:t>μL。</w:t>
            </w:r>
          </w:p>
          <w:p>
            <w:pPr>
              <w:keepNext w:val="0"/>
              <w:keepLines w:val="0"/>
              <w:pageBreakBefore w:val="0"/>
              <w:numPr>
                <w:ilvl w:val="0"/>
                <w:numId w:val="3"/>
              </w:numPr>
              <w:kinsoku/>
              <w:wordWrap/>
              <w:overflowPunct/>
              <w:topLinePunct w:val="0"/>
              <w:bidi w:val="0"/>
              <w:spacing w:line="440" w:lineRule="exact"/>
              <w:ind w:firstLine="422" w:firstLineChars="200"/>
              <w:rPr>
                <w:rFonts w:hint="default" w:ascii="Times New Roman" w:hAnsi="Times New Roman" w:cs="Times New Roman"/>
                <w:b/>
                <w:bCs/>
                <w:color w:val="000000"/>
                <w:sz w:val="21"/>
                <w:szCs w:val="21"/>
                <w:lang w:val="en-US" w:eastAsia="zh-CN"/>
              </w:rPr>
            </w:pPr>
            <w:r>
              <w:rPr>
                <w:rFonts w:hint="default" w:ascii="Times New Roman" w:hAnsi="Times New Roman" w:cs="Times New Roman"/>
                <w:b/>
                <w:bCs/>
                <w:color w:val="000000"/>
                <w:sz w:val="21"/>
                <w:szCs w:val="21"/>
                <w:lang w:val="en-US" w:eastAsia="zh-CN"/>
              </w:rPr>
              <w:t>检测方法</w:t>
            </w:r>
          </w:p>
          <w:p>
            <w:pPr>
              <w:keepNext w:val="0"/>
              <w:keepLines w:val="0"/>
              <w:pageBreakBefore w:val="0"/>
              <w:numPr>
                <w:ilvl w:val="0"/>
                <w:numId w:val="0"/>
              </w:numPr>
              <w:kinsoku/>
              <w:wordWrap/>
              <w:overflowPunct/>
              <w:topLinePunct w:val="0"/>
              <w:bidi w:val="0"/>
              <w:spacing w:line="440" w:lineRule="exact"/>
              <w:ind w:firstLine="422" w:firstLineChars="200"/>
              <w:rPr>
                <w:rFonts w:hint="default" w:ascii="Times New Roman" w:hAnsi="Times New Roman" w:cs="Times New Roman"/>
                <w:b/>
                <w:bCs/>
                <w:color w:val="000000"/>
                <w:sz w:val="21"/>
                <w:szCs w:val="21"/>
                <w:lang w:val="en-US" w:eastAsia="zh-CN"/>
              </w:rPr>
            </w:pPr>
            <w:r>
              <w:rPr>
                <w:rFonts w:hint="default" w:ascii="Times New Roman" w:hAnsi="Times New Roman" w:cs="Times New Roman"/>
                <w:b/>
                <w:bCs/>
                <w:color w:val="000000"/>
                <w:sz w:val="21"/>
                <w:szCs w:val="21"/>
                <w:lang w:val="en-US" w:eastAsia="zh-CN"/>
              </w:rPr>
              <w:t>6.1 核酸提取</w:t>
            </w:r>
          </w:p>
          <w:p>
            <w:pPr>
              <w:spacing w:line="360" w:lineRule="auto"/>
              <w:ind w:firstLine="420" w:firstLineChars="200"/>
              <w:rPr>
                <w:rFonts w:hint="default" w:ascii="Times New Roman" w:hAnsi="Times New Roman" w:eastAsia="宋体" w:cs="Times New Roman"/>
                <w:color w:val="000000"/>
                <w:szCs w:val="24"/>
                <w:highlight w:val="none"/>
              </w:rPr>
            </w:pPr>
            <w:r>
              <w:rPr>
                <w:rFonts w:hint="default" w:ascii="Times New Roman" w:hAnsi="Times New Roman" w:eastAsia="宋体" w:cs="Times New Roman"/>
                <w:color w:val="000000"/>
                <w:szCs w:val="24"/>
                <w:highlight w:val="none"/>
              </w:rPr>
              <w:t>目前，市场上还未有植物蛋白饮料DNA提取的试剂盒，植物蛋白饮料由于经过高温、高压及化学处理，对其植物源性成分DNA的破坏性较大，植物蛋白饮料本身含植物源性成分的量较少，造成植物蛋白总DNA提取具有一定的难度。磁珠法提取的DNA具有高效、快速、高通量等优点，可实现痕量物质DNA的高效提取，通过反复实验，对于提取效果进行验证，选择了具有代表性的硅羟基化修饰磁珠。同时，植物蛋白饮料提取的DNA往往容易蛋白质污染，即DNA中的蛋白质含量未除干净，导致所提取的DNA质量不佳，</w:t>
            </w:r>
            <w:r>
              <w:rPr>
                <w:rFonts w:hint="default" w:ascii="Times New Roman" w:hAnsi="Times New Roman" w:cs="Times New Roman"/>
                <w:color w:val="000000"/>
                <w:szCs w:val="24"/>
                <w:highlight w:val="none"/>
                <w:lang w:val="en-US" w:eastAsia="zh-CN"/>
              </w:rPr>
              <w:t>对于普通样本，</w:t>
            </w:r>
            <w:r>
              <w:rPr>
                <w:rFonts w:hint="default" w:ascii="Times New Roman" w:hAnsi="Times New Roman" w:eastAsia="宋体" w:cs="Times New Roman"/>
                <w:color w:val="000000"/>
                <w:szCs w:val="24"/>
                <w:highlight w:val="none"/>
              </w:rPr>
              <w:t>本</w:t>
            </w:r>
            <w:r>
              <w:rPr>
                <w:rFonts w:hint="default" w:ascii="Times New Roman" w:hAnsi="Times New Roman" w:cs="Times New Roman"/>
                <w:color w:val="000000"/>
                <w:szCs w:val="24"/>
                <w:highlight w:val="none"/>
                <w:lang w:val="en-US" w:eastAsia="zh-CN"/>
              </w:rPr>
              <w:t>标准</w:t>
            </w:r>
            <w:r>
              <w:rPr>
                <w:rFonts w:hint="default" w:ascii="Times New Roman" w:hAnsi="Times New Roman" w:eastAsia="宋体" w:cs="Times New Roman"/>
                <w:color w:val="000000"/>
                <w:szCs w:val="24"/>
                <w:highlight w:val="none"/>
              </w:rPr>
              <w:t>采用1次氯仿/异戊醇的抽提，</w:t>
            </w:r>
            <w:r>
              <w:rPr>
                <w:rFonts w:hint="default" w:ascii="Times New Roman" w:hAnsi="Times New Roman" w:cs="Times New Roman"/>
                <w:color w:val="000000"/>
                <w:szCs w:val="24"/>
                <w:highlight w:val="none"/>
                <w:lang w:val="en-US" w:eastAsia="zh-CN"/>
              </w:rPr>
              <w:t>1</w:t>
            </w:r>
            <w:r>
              <w:rPr>
                <w:rFonts w:hint="default" w:ascii="Times New Roman" w:hAnsi="Times New Roman" w:eastAsia="宋体" w:cs="Times New Roman"/>
                <w:color w:val="000000"/>
                <w:szCs w:val="24"/>
                <w:highlight w:val="none"/>
              </w:rPr>
              <w:t>次去蛋白液的洗涤</w:t>
            </w:r>
            <w:r>
              <w:rPr>
                <w:rFonts w:hint="default" w:ascii="Times New Roman" w:hAnsi="Times New Roman" w:cs="Times New Roman"/>
                <w:color w:val="000000"/>
                <w:szCs w:val="24"/>
                <w:highlight w:val="none"/>
                <w:lang w:eastAsia="zh-CN"/>
              </w:rPr>
              <w:t>，</w:t>
            </w:r>
            <w:r>
              <w:rPr>
                <w:rFonts w:hint="default" w:ascii="Times New Roman" w:hAnsi="Times New Roman" w:cs="Times New Roman"/>
                <w:color w:val="000000"/>
                <w:szCs w:val="24"/>
                <w:highlight w:val="none"/>
                <w:lang w:val="en-US" w:eastAsia="zh-CN"/>
              </w:rPr>
              <w:t>2次70%乙醇洗涤</w:t>
            </w:r>
            <w:r>
              <w:rPr>
                <w:rFonts w:hint="default" w:ascii="Times New Roman" w:hAnsi="Times New Roman" w:cs="Times New Roman"/>
                <w:color w:val="000000"/>
                <w:szCs w:val="24"/>
                <w:highlight w:val="none"/>
                <w:lang w:eastAsia="zh-CN"/>
              </w:rPr>
              <w:t>；</w:t>
            </w:r>
            <w:r>
              <w:rPr>
                <w:rFonts w:hint="default" w:ascii="Times New Roman" w:hAnsi="Times New Roman" w:cs="Times New Roman"/>
                <w:color w:val="000000"/>
                <w:szCs w:val="24"/>
                <w:highlight w:val="none"/>
                <w:lang w:val="en-US" w:eastAsia="zh-CN"/>
              </w:rPr>
              <w:t>对于蛋白质和脂肪含量较高的样品，采用CTAB沉淀DNA，再用NaCl溶解沉淀，三氯甲烷再次抽提，可提高植物蛋白饮料DNA的提取率及质量</w:t>
            </w:r>
            <w:r>
              <w:rPr>
                <w:rFonts w:hint="default" w:ascii="Times New Roman" w:hAnsi="Times New Roman" w:eastAsia="宋体" w:cs="Times New Roman"/>
                <w:color w:val="000000"/>
                <w:szCs w:val="24"/>
                <w:highlight w:val="none"/>
              </w:rPr>
              <w:t>。</w:t>
            </w:r>
            <w:r>
              <w:rPr>
                <w:rFonts w:hint="eastAsia" w:ascii="Times New Roman" w:hAnsi="Times New Roman" w:cs="Times New Roman"/>
                <w:color w:val="000000"/>
                <w:szCs w:val="24"/>
                <w:highlight w:val="none"/>
                <w:lang w:val="en-US" w:eastAsia="zh-CN"/>
              </w:rPr>
              <w:t>6</w:t>
            </w:r>
            <w:r>
              <w:rPr>
                <w:rFonts w:hint="default" w:ascii="Times New Roman" w:hAnsi="Times New Roman" w:eastAsia="宋体" w:cs="Times New Roman"/>
                <w:color w:val="000000"/>
                <w:szCs w:val="24"/>
                <w:highlight w:val="none"/>
              </w:rPr>
              <w:t>种不同植物原料制作的蛋白饮料成分差异性较大，很难制定统一的提取方法。通过系列实验的摸索，建立了磁珠法提取结合化学试剂提取DNA的方法，具体步骤如下：</w:t>
            </w:r>
          </w:p>
          <w:p>
            <w:pPr>
              <w:spacing w:line="360" w:lineRule="auto"/>
              <w:ind w:firstLine="420" w:firstLineChars="200"/>
              <w:rPr>
                <w:rFonts w:hint="default" w:ascii="Times New Roman" w:hAnsi="Times New Roman" w:eastAsia="宋体" w:cs="Times New Roman"/>
                <w:color w:val="000000"/>
                <w:szCs w:val="24"/>
                <w:highlight w:val="none"/>
              </w:rPr>
            </w:pPr>
            <w:r>
              <w:rPr>
                <w:rFonts w:hint="default" w:ascii="Times New Roman" w:hAnsi="Times New Roman" w:eastAsia="宋体" w:cs="Times New Roman"/>
                <w:color w:val="000000"/>
                <w:szCs w:val="24"/>
                <w:highlight w:val="none"/>
              </w:rPr>
              <w:t>（1）固体样品按照说明书冲调至液体状态，含固型物样品则将固型物均质后取样，液体样品直接吸取植物蛋白饮料0.5</w:t>
            </w:r>
            <w:r>
              <w:rPr>
                <w:rFonts w:hint="default" w:ascii="Times New Roman" w:hAnsi="Times New Roman" w:eastAsia="宋体" w:cs="Times New Roman"/>
                <w:color w:val="000000"/>
                <w:szCs w:val="24"/>
                <w:highlight w:val="none"/>
                <w:lang w:val="en-US" w:eastAsia="zh-CN"/>
              </w:rPr>
              <w:t>-1</w:t>
            </w:r>
            <w:r>
              <w:rPr>
                <w:rFonts w:hint="default" w:ascii="Times New Roman" w:hAnsi="Times New Roman" w:eastAsia="宋体" w:cs="Times New Roman"/>
                <w:color w:val="000000"/>
                <w:szCs w:val="24"/>
                <w:highlight w:val="none"/>
              </w:rPr>
              <w:t>mL至灭菌离心管中。</w:t>
            </w:r>
          </w:p>
          <w:p>
            <w:pPr>
              <w:spacing w:line="360" w:lineRule="auto"/>
              <w:ind w:firstLine="420" w:firstLineChars="200"/>
              <w:rPr>
                <w:rFonts w:hint="default" w:ascii="Times New Roman" w:hAnsi="Times New Roman" w:eastAsia="宋体" w:cs="Times New Roman"/>
                <w:color w:val="000000"/>
                <w:szCs w:val="24"/>
                <w:highlight w:val="none"/>
              </w:rPr>
            </w:pPr>
            <w:r>
              <w:rPr>
                <w:rFonts w:hint="default" w:ascii="Times New Roman" w:hAnsi="Times New Roman" w:eastAsia="宋体" w:cs="Times New Roman"/>
                <w:color w:val="000000"/>
                <w:szCs w:val="24"/>
                <w:highlight w:val="none"/>
              </w:rPr>
              <w:t>（2）加入</w:t>
            </w:r>
            <w:r>
              <w:rPr>
                <w:rFonts w:hint="default" w:ascii="Times New Roman" w:hAnsi="Times New Roman" w:eastAsia="宋体" w:cs="Times New Roman"/>
                <w:color w:val="000000"/>
                <w:szCs w:val="24"/>
                <w:highlight w:val="none"/>
                <w:lang w:val="en-US" w:eastAsia="zh-CN"/>
              </w:rPr>
              <w:t>1 mL</w:t>
            </w:r>
            <w:r>
              <w:rPr>
                <w:rFonts w:hint="default" w:ascii="Times New Roman" w:hAnsi="Times New Roman" w:eastAsia="宋体" w:cs="Times New Roman"/>
                <w:color w:val="000000"/>
                <w:szCs w:val="24"/>
                <w:highlight w:val="none"/>
              </w:rPr>
              <w:t xml:space="preserve"> CTAB</w:t>
            </w:r>
            <w:r>
              <w:rPr>
                <w:rFonts w:hint="default" w:ascii="Times New Roman" w:hAnsi="Times New Roman" w:eastAsia="宋体" w:cs="Times New Roman"/>
                <w:color w:val="000000"/>
                <w:szCs w:val="24"/>
                <w:highlight w:val="none"/>
                <w:lang w:val="en-US" w:eastAsia="zh-CN"/>
              </w:rPr>
              <w:t>提取缓冲液</w:t>
            </w:r>
            <w:r>
              <w:rPr>
                <w:rFonts w:hint="default" w:ascii="Times New Roman" w:hAnsi="Times New Roman" w:eastAsia="宋体" w:cs="Times New Roman"/>
                <w:color w:val="000000"/>
                <w:szCs w:val="24"/>
                <w:highlight w:val="none"/>
                <w:lang w:eastAsia="zh-CN"/>
              </w:rPr>
              <w:t>，</w:t>
            </w:r>
            <w:r>
              <w:rPr>
                <w:rFonts w:hint="default" w:ascii="Times New Roman" w:hAnsi="Times New Roman" w:eastAsia="宋体" w:cs="Times New Roman"/>
                <w:color w:val="000000"/>
                <w:szCs w:val="24"/>
                <w:highlight w:val="none"/>
                <w:lang w:val="en-US" w:eastAsia="zh-CN"/>
              </w:rPr>
              <w:t xml:space="preserve">10 </w:t>
            </w:r>
            <w:r>
              <w:rPr>
                <w:rFonts w:hint="default" w:ascii="Times New Roman" w:hAnsi="Times New Roman" w:eastAsia="宋体" w:cs="Times New Roman"/>
                <w:color w:val="000000"/>
                <w:szCs w:val="24"/>
                <w:highlight w:val="none"/>
              </w:rPr>
              <w:t>μL RNA酶和20</w:t>
            </w:r>
            <w:r>
              <w:rPr>
                <w:rFonts w:hint="default" w:ascii="Times New Roman" w:hAnsi="Times New Roman" w:eastAsia="宋体" w:cs="Times New Roman"/>
                <w:color w:val="000000"/>
                <w:szCs w:val="24"/>
                <w:highlight w:val="none"/>
                <w:lang w:val="en-US" w:eastAsia="zh-CN"/>
              </w:rPr>
              <w:t xml:space="preserve"> </w:t>
            </w:r>
            <w:r>
              <w:rPr>
                <w:rFonts w:hint="default" w:ascii="Times New Roman" w:hAnsi="Times New Roman" w:eastAsia="宋体" w:cs="Times New Roman"/>
                <w:color w:val="000000"/>
                <w:szCs w:val="24"/>
                <w:highlight w:val="none"/>
              </w:rPr>
              <w:t>μL蛋白酶K，振荡混匀，65</w:t>
            </w:r>
            <w:r>
              <w:rPr>
                <w:rFonts w:hint="default" w:ascii="Times New Roman" w:hAnsi="Times New Roman" w:eastAsia="宋体" w:cs="Times New Roman"/>
                <w:color w:val="000000"/>
                <w:szCs w:val="24"/>
                <w:highlight w:val="none"/>
                <w:lang w:val="en-US" w:eastAsia="zh-CN"/>
              </w:rPr>
              <w:t xml:space="preserve"> </w:t>
            </w:r>
            <w:r>
              <w:rPr>
                <w:rFonts w:hint="default" w:ascii="Times New Roman" w:hAnsi="Times New Roman" w:eastAsia="宋体" w:cs="Times New Roman"/>
                <w:color w:val="000000"/>
                <w:szCs w:val="24"/>
                <w:highlight w:val="none"/>
              </w:rPr>
              <w:t>℃</w:t>
            </w:r>
            <w:r>
              <w:rPr>
                <w:rFonts w:hint="default" w:ascii="Times New Roman" w:hAnsi="Times New Roman" w:eastAsia="宋体" w:cs="Times New Roman"/>
                <w:color w:val="000000"/>
                <w:szCs w:val="24"/>
                <w:highlight w:val="none"/>
                <w:lang w:val="en-US" w:eastAsia="zh-CN"/>
              </w:rPr>
              <w:t>孵育1 h</w:t>
            </w:r>
            <w:r>
              <w:rPr>
                <w:rFonts w:hint="default" w:ascii="Times New Roman" w:hAnsi="Times New Roman" w:eastAsia="宋体" w:cs="Times New Roman"/>
                <w:color w:val="000000"/>
                <w:szCs w:val="24"/>
                <w:highlight w:val="none"/>
              </w:rPr>
              <w:t>以上，期间上下颠倒混匀4~5次。</w:t>
            </w:r>
          </w:p>
          <w:p>
            <w:pPr>
              <w:spacing w:line="360" w:lineRule="auto"/>
              <w:ind w:firstLine="420" w:firstLineChars="200"/>
              <w:rPr>
                <w:rFonts w:hint="default" w:ascii="Times New Roman" w:hAnsi="Times New Roman" w:eastAsia="宋体" w:cs="Times New Roman"/>
                <w:color w:val="000000"/>
                <w:szCs w:val="24"/>
                <w:highlight w:val="none"/>
              </w:rPr>
            </w:pPr>
            <w:r>
              <w:rPr>
                <w:rFonts w:hint="default" w:ascii="Times New Roman" w:hAnsi="Times New Roman" w:eastAsia="宋体" w:cs="Times New Roman"/>
                <w:color w:val="000000"/>
                <w:szCs w:val="24"/>
                <w:highlight w:val="none"/>
              </w:rPr>
              <w:t>（3）加入600</w:t>
            </w:r>
            <w:r>
              <w:rPr>
                <w:rFonts w:hint="default" w:ascii="Times New Roman" w:hAnsi="Times New Roman" w:eastAsia="宋体" w:cs="Times New Roman"/>
                <w:color w:val="000000"/>
                <w:szCs w:val="24"/>
                <w:highlight w:val="none"/>
                <w:lang w:val="en-US" w:eastAsia="zh-CN"/>
              </w:rPr>
              <w:t xml:space="preserve"> </w:t>
            </w:r>
            <w:r>
              <w:rPr>
                <w:rFonts w:hint="default" w:ascii="Times New Roman" w:hAnsi="Times New Roman" w:eastAsia="宋体" w:cs="Times New Roman"/>
                <w:color w:val="000000"/>
                <w:szCs w:val="24"/>
                <w:highlight w:val="none"/>
              </w:rPr>
              <w:t>μL氯仿/异戊醇混合液，充分振荡混匀30</w:t>
            </w:r>
            <w:r>
              <w:rPr>
                <w:rFonts w:hint="default" w:ascii="Times New Roman" w:hAnsi="Times New Roman" w:eastAsia="宋体" w:cs="Times New Roman"/>
                <w:color w:val="000000"/>
                <w:szCs w:val="24"/>
                <w:highlight w:val="none"/>
                <w:lang w:val="en-US" w:eastAsia="zh-CN"/>
              </w:rPr>
              <w:t xml:space="preserve"> </w:t>
            </w:r>
            <w:r>
              <w:rPr>
                <w:rFonts w:hint="default" w:ascii="Times New Roman" w:hAnsi="Times New Roman" w:eastAsia="宋体" w:cs="Times New Roman"/>
                <w:color w:val="000000"/>
                <w:szCs w:val="24"/>
                <w:highlight w:val="none"/>
              </w:rPr>
              <w:t>s，12000 r/min离心10 min，取上清液于洁净的离心管中，注意不要吸到上清液下面的蛋白层。</w:t>
            </w:r>
          </w:p>
          <w:p>
            <w:pPr>
              <w:spacing w:line="360" w:lineRule="auto"/>
              <w:ind w:firstLine="420" w:firstLineChars="200"/>
              <w:rPr>
                <w:rFonts w:hint="default" w:ascii="Times New Roman" w:hAnsi="Times New Roman" w:eastAsia="宋体" w:cs="Times New Roman"/>
                <w:color w:val="000000"/>
                <w:szCs w:val="24"/>
                <w:highlight w:val="none"/>
                <w:lang w:val="en-US" w:eastAsia="zh-CN"/>
              </w:rPr>
            </w:pPr>
            <w:r>
              <w:rPr>
                <w:rFonts w:hint="default" w:ascii="Times New Roman" w:hAnsi="Times New Roman" w:eastAsia="宋体" w:cs="Times New Roman"/>
                <w:color w:val="000000"/>
                <w:szCs w:val="24"/>
                <w:highlight w:val="none"/>
                <w:lang w:val="en-US" w:eastAsia="zh-CN"/>
              </w:rPr>
              <w:t xml:space="preserve">注意：蛋白质和脂肪含量高的样品，需要增加以下步骤提取效果较佳，具体方法为：加入2倍体积CTAB沉淀液，混匀后室温静置60 min后，12000 </w:t>
            </w:r>
            <w:r>
              <w:rPr>
                <w:rFonts w:hint="default" w:ascii="Times New Roman" w:hAnsi="Times New Roman" w:eastAsia="宋体" w:cs="Times New Roman"/>
                <w:color w:val="000000"/>
                <w:szCs w:val="24"/>
                <w:highlight w:val="none"/>
              </w:rPr>
              <w:t>r/min</w:t>
            </w:r>
            <w:r>
              <w:rPr>
                <w:rFonts w:hint="default" w:ascii="Times New Roman" w:hAnsi="Times New Roman" w:eastAsia="宋体" w:cs="Times New Roman"/>
                <w:color w:val="000000"/>
                <w:szCs w:val="24"/>
                <w:highlight w:val="none"/>
                <w:lang w:val="en-US" w:eastAsia="zh-CN"/>
              </w:rPr>
              <w:t xml:space="preserve">离心10 min；弃去上清液，加入350 μL 1 mol/L NaCl溶液充分溶解沉淀；加入350 μL三氯甲烷，高速漩涡振荡混匀，12000 </w:t>
            </w:r>
            <w:r>
              <w:rPr>
                <w:rFonts w:hint="default" w:ascii="Times New Roman" w:hAnsi="Times New Roman" w:eastAsia="宋体" w:cs="Times New Roman"/>
                <w:color w:val="000000"/>
                <w:szCs w:val="24"/>
                <w:highlight w:val="none"/>
              </w:rPr>
              <w:t>r/min</w:t>
            </w:r>
            <w:r>
              <w:rPr>
                <w:rFonts w:hint="default" w:ascii="Times New Roman" w:hAnsi="Times New Roman" w:eastAsia="宋体" w:cs="Times New Roman"/>
                <w:color w:val="000000"/>
                <w:szCs w:val="24"/>
                <w:highlight w:val="none"/>
                <w:lang w:val="en-US" w:eastAsia="zh-CN"/>
              </w:rPr>
              <w:t>离心10 min，取上清。</w:t>
            </w:r>
          </w:p>
          <w:p>
            <w:pPr>
              <w:numPr>
                <w:ilvl w:val="0"/>
                <w:numId w:val="4"/>
              </w:numPr>
              <w:spacing w:line="360" w:lineRule="auto"/>
              <w:ind w:firstLine="420" w:firstLineChars="200"/>
              <w:rPr>
                <w:rFonts w:hint="default" w:ascii="Times New Roman" w:hAnsi="Times New Roman" w:cs="Times New Roman"/>
                <w:color w:val="000000"/>
                <w:kern w:val="0"/>
                <w:highlight w:val="none"/>
              </w:rPr>
            </w:pPr>
            <w:r>
              <w:rPr>
                <w:rFonts w:hint="default" w:ascii="Times New Roman" w:hAnsi="Times New Roman" w:eastAsia="宋体" w:cs="Times New Roman"/>
                <w:color w:val="000000"/>
                <w:szCs w:val="24"/>
                <w:highlight w:val="none"/>
              </w:rPr>
              <w:t>加入等</w:t>
            </w:r>
            <w:r>
              <w:rPr>
                <w:rFonts w:hint="default" w:ascii="Times New Roman" w:hAnsi="Times New Roman" w:eastAsia="宋体" w:cs="Times New Roman"/>
                <w:color w:val="000000"/>
                <w:szCs w:val="24"/>
                <w:highlight w:val="none"/>
                <w:lang w:val="en-US" w:eastAsia="zh-CN"/>
              </w:rPr>
              <w:t>0.8倍体积</w:t>
            </w:r>
            <w:r>
              <w:rPr>
                <w:rFonts w:hint="default" w:ascii="Times New Roman" w:hAnsi="Times New Roman" w:eastAsia="宋体" w:cs="Times New Roman"/>
                <w:color w:val="000000"/>
                <w:szCs w:val="24"/>
                <w:highlight w:val="none"/>
              </w:rPr>
              <w:t>冰上预冷的异丙醇，15</w:t>
            </w:r>
            <w:r>
              <w:rPr>
                <w:rFonts w:hint="default" w:ascii="Times New Roman" w:hAnsi="Times New Roman" w:eastAsia="宋体" w:cs="Times New Roman"/>
                <w:color w:val="000000"/>
                <w:szCs w:val="24"/>
                <w:highlight w:val="none"/>
                <w:lang w:val="en-US" w:eastAsia="zh-CN"/>
              </w:rPr>
              <w:t xml:space="preserve"> </w:t>
            </w:r>
            <w:r>
              <w:rPr>
                <w:rFonts w:hint="default" w:ascii="Times New Roman" w:hAnsi="Times New Roman" w:eastAsia="宋体" w:cs="Times New Roman"/>
                <w:color w:val="000000"/>
                <w:szCs w:val="24"/>
                <w:highlight w:val="none"/>
              </w:rPr>
              <w:t>μL磁珠悬浮液，充分混匀后，静置15 min，将离心管置于磁力架静置1 min，弃去废液。</w:t>
            </w:r>
          </w:p>
          <w:p>
            <w:pPr>
              <w:numPr>
                <w:ilvl w:val="0"/>
                <w:numId w:val="4"/>
              </w:numPr>
              <w:spacing w:line="360" w:lineRule="auto"/>
              <w:ind w:firstLine="420" w:firstLineChars="200"/>
              <w:rPr>
                <w:rFonts w:hint="default" w:ascii="Times New Roman" w:hAnsi="Times New Roman" w:eastAsia="宋体" w:cs="Times New Roman"/>
                <w:color w:val="000000"/>
                <w:szCs w:val="24"/>
                <w:highlight w:val="none"/>
              </w:rPr>
            </w:pPr>
            <w:r>
              <w:rPr>
                <w:rFonts w:hint="default" w:ascii="Times New Roman" w:hAnsi="Times New Roman" w:cs="Times New Roman"/>
                <w:color w:val="000000"/>
                <w:kern w:val="0"/>
                <w:highlight w:val="none"/>
                <w:lang w:val="en-US" w:eastAsia="zh-CN"/>
              </w:rPr>
              <w:t>加入500 μL 去蛋白液，</w:t>
            </w:r>
            <w:r>
              <w:rPr>
                <w:rFonts w:hint="default" w:ascii="Times New Roman" w:hAnsi="Times New Roman" w:cs="Times New Roman"/>
                <w:color w:val="000000"/>
                <w:kern w:val="0"/>
                <w:szCs w:val="21"/>
                <w:highlight w:val="none"/>
              </w:rPr>
              <w:t>充分混匀后，将离心管置于磁力架静置1 min，弃去废液。</w:t>
            </w:r>
          </w:p>
          <w:p>
            <w:pPr>
              <w:numPr>
                <w:ilvl w:val="0"/>
                <w:numId w:val="4"/>
              </w:numPr>
              <w:spacing w:line="360" w:lineRule="auto"/>
              <w:ind w:firstLine="420" w:firstLineChars="200"/>
              <w:rPr>
                <w:rFonts w:hint="default" w:ascii="Times New Roman" w:hAnsi="Times New Roman" w:eastAsia="宋体" w:cs="Times New Roman"/>
                <w:color w:val="000000"/>
                <w:szCs w:val="24"/>
                <w:highlight w:val="none"/>
              </w:rPr>
            </w:pPr>
            <w:r>
              <w:rPr>
                <w:rFonts w:hint="default" w:ascii="Times New Roman" w:hAnsi="Times New Roman" w:eastAsia="宋体" w:cs="Times New Roman"/>
                <w:color w:val="000000"/>
                <w:szCs w:val="24"/>
                <w:highlight w:val="none"/>
              </w:rPr>
              <w:t>加入70</w:t>
            </w:r>
            <w:r>
              <w:rPr>
                <w:rFonts w:hint="default" w:ascii="Times New Roman" w:hAnsi="Times New Roman" w:eastAsia="宋体" w:cs="Times New Roman"/>
                <w:color w:val="000000"/>
                <w:szCs w:val="24"/>
                <w:highlight w:val="none"/>
                <w:lang w:val="en-US" w:eastAsia="zh-CN"/>
              </w:rPr>
              <w:t xml:space="preserve"> </w:t>
            </w:r>
            <w:r>
              <w:rPr>
                <w:rFonts w:hint="default" w:ascii="Times New Roman" w:hAnsi="Times New Roman" w:eastAsia="宋体" w:cs="Times New Roman"/>
                <w:color w:val="000000"/>
                <w:szCs w:val="24"/>
                <w:highlight w:val="none"/>
              </w:rPr>
              <w:t>%乙醇，充分混匀后，将离心管置于磁力架静置1 min，弃去废液。</w:t>
            </w:r>
          </w:p>
          <w:p>
            <w:pPr>
              <w:spacing w:line="360" w:lineRule="auto"/>
              <w:ind w:firstLine="420" w:firstLineChars="200"/>
              <w:rPr>
                <w:rFonts w:hint="default" w:ascii="Times New Roman" w:hAnsi="Times New Roman" w:eastAsia="宋体" w:cs="Times New Roman"/>
                <w:color w:val="000000"/>
                <w:szCs w:val="24"/>
                <w:highlight w:val="none"/>
              </w:rPr>
            </w:pPr>
            <w:r>
              <w:rPr>
                <w:rFonts w:hint="default" w:ascii="Times New Roman" w:hAnsi="Times New Roman" w:eastAsia="宋体" w:cs="Times New Roman"/>
                <w:color w:val="000000"/>
                <w:szCs w:val="24"/>
                <w:highlight w:val="none"/>
              </w:rPr>
              <w:t>（</w:t>
            </w:r>
            <w:r>
              <w:rPr>
                <w:rFonts w:hint="default" w:ascii="Times New Roman" w:hAnsi="Times New Roman" w:cs="Times New Roman"/>
                <w:color w:val="000000"/>
                <w:szCs w:val="24"/>
                <w:highlight w:val="none"/>
                <w:lang w:val="en-US" w:eastAsia="zh-CN"/>
              </w:rPr>
              <w:t>7</w:t>
            </w:r>
            <w:r>
              <w:rPr>
                <w:rFonts w:hint="default" w:ascii="Times New Roman" w:hAnsi="Times New Roman" w:eastAsia="宋体" w:cs="Times New Roman"/>
                <w:color w:val="000000"/>
                <w:szCs w:val="24"/>
                <w:highlight w:val="none"/>
              </w:rPr>
              <w:t>）重复操作</w:t>
            </w:r>
            <w:r>
              <w:rPr>
                <w:rFonts w:hint="default" w:ascii="Times New Roman" w:hAnsi="Times New Roman" w:eastAsia="宋体" w:cs="Times New Roman"/>
                <w:color w:val="000000"/>
                <w:szCs w:val="24"/>
                <w:highlight w:val="none"/>
                <w:lang w:val="en-US" w:eastAsia="zh-CN"/>
              </w:rPr>
              <w:t>步骤</w:t>
            </w:r>
            <w:r>
              <w:rPr>
                <w:rFonts w:hint="default" w:ascii="Times New Roman" w:hAnsi="Times New Roman" w:cs="Times New Roman"/>
                <w:color w:val="000000"/>
                <w:szCs w:val="24"/>
                <w:highlight w:val="none"/>
                <w:lang w:val="en-US" w:eastAsia="zh-CN"/>
              </w:rPr>
              <w:t>6</w:t>
            </w:r>
            <w:r>
              <w:rPr>
                <w:rFonts w:hint="default" w:ascii="Times New Roman" w:hAnsi="Times New Roman" w:eastAsia="宋体" w:cs="Times New Roman"/>
                <w:color w:val="000000"/>
                <w:szCs w:val="24"/>
                <w:highlight w:val="none"/>
              </w:rPr>
              <w:t>，将吸附DNA的磁珠于室温干燥5</w:t>
            </w:r>
            <w:r>
              <w:rPr>
                <w:rFonts w:hint="default" w:ascii="Times New Roman" w:hAnsi="Times New Roman" w:eastAsia="宋体" w:cs="Times New Roman"/>
                <w:color w:val="000000"/>
                <w:szCs w:val="24"/>
                <w:highlight w:val="none"/>
                <w:lang w:val="en-US" w:eastAsia="zh-CN"/>
              </w:rPr>
              <w:t xml:space="preserve"> </w:t>
            </w:r>
            <w:r>
              <w:rPr>
                <w:rFonts w:hint="default" w:ascii="Times New Roman" w:hAnsi="Times New Roman" w:eastAsia="宋体" w:cs="Times New Roman"/>
                <w:color w:val="000000"/>
                <w:szCs w:val="24"/>
                <w:highlight w:val="none"/>
              </w:rPr>
              <w:t>min。</w:t>
            </w:r>
          </w:p>
          <w:p>
            <w:pPr>
              <w:spacing w:line="360" w:lineRule="auto"/>
              <w:ind w:firstLine="420" w:firstLineChars="200"/>
              <w:rPr>
                <w:rFonts w:hint="default" w:ascii="Times New Roman" w:hAnsi="Times New Roman" w:eastAsia="宋体" w:cs="Times New Roman"/>
                <w:color w:val="000000"/>
                <w:szCs w:val="24"/>
                <w:highlight w:val="none"/>
              </w:rPr>
            </w:pPr>
            <w:r>
              <w:rPr>
                <w:rFonts w:hint="default" w:ascii="Times New Roman" w:hAnsi="Times New Roman" w:eastAsia="宋体" w:cs="Times New Roman"/>
                <w:color w:val="000000"/>
                <w:szCs w:val="24"/>
                <w:highlight w:val="none"/>
              </w:rPr>
              <w:t>（</w:t>
            </w:r>
            <w:r>
              <w:rPr>
                <w:rFonts w:hint="default" w:ascii="Times New Roman" w:hAnsi="Times New Roman" w:cs="Times New Roman"/>
                <w:color w:val="000000"/>
                <w:szCs w:val="24"/>
                <w:highlight w:val="none"/>
                <w:lang w:val="en-US" w:eastAsia="zh-CN"/>
              </w:rPr>
              <w:t>8</w:t>
            </w:r>
            <w:r>
              <w:rPr>
                <w:rFonts w:hint="default" w:ascii="Times New Roman" w:hAnsi="Times New Roman" w:eastAsia="宋体" w:cs="Times New Roman"/>
                <w:color w:val="000000"/>
                <w:szCs w:val="24"/>
                <w:highlight w:val="none"/>
              </w:rPr>
              <w:t>）加入50</w:t>
            </w:r>
            <w:r>
              <w:rPr>
                <w:rFonts w:hint="default" w:ascii="Times New Roman" w:hAnsi="Times New Roman" w:eastAsia="宋体" w:cs="Times New Roman"/>
                <w:color w:val="000000"/>
                <w:szCs w:val="24"/>
                <w:highlight w:val="none"/>
                <w:lang w:val="en-US" w:eastAsia="zh-CN"/>
              </w:rPr>
              <w:t xml:space="preserve"> </w:t>
            </w:r>
            <w:r>
              <w:rPr>
                <w:rFonts w:hint="default" w:ascii="Times New Roman" w:hAnsi="Times New Roman" w:eastAsia="宋体" w:cs="Times New Roman"/>
                <w:color w:val="000000"/>
                <w:szCs w:val="24"/>
                <w:highlight w:val="none"/>
              </w:rPr>
              <w:t>μL TE溶液，65</w:t>
            </w:r>
            <w:r>
              <w:rPr>
                <w:rFonts w:hint="default" w:ascii="Times New Roman" w:hAnsi="Times New Roman" w:eastAsia="宋体" w:cs="Times New Roman"/>
                <w:color w:val="000000"/>
                <w:szCs w:val="24"/>
                <w:highlight w:val="none"/>
                <w:lang w:val="en-US" w:eastAsia="zh-CN"/>
              </w:rPr>
              <w:t xml:space="preserve"> </w:t>
            </w:r>
            <w:r>
              <w:rPr>
                <w:rFonts w:hint="default" w:ascii="Times New Roman" w:hAnsi="Times New Roman" w:eastAsia="宋体" w:cs="Times New Roman"/>
                <w:color w:val="000000"/>
                <w:szCs w:val="24"/>
                <w:highlight w:val="none"/>
              </w:rPr>
              <w:t>℃温浴3 min，将离心管置于磁力架静置1</w:t>
            </w:r>
            <w:r>
              <w:rPr>
                <w:rFonts w:hint="default" w:ascii="Times New Roman" w:hAnsi="Times New Roman" w:eastAsia="宋体" w:cs="Times New Roman"/>
                <w:color w:val="000000"/>
                <w:szCs w:val="24"/>
                <w:highlight w:val="none"/>
                <w:lang w:val="en-US" w:eastAsia="zh-CN"/>
              </w:rPr>
              <w:t xml:space="preserve"> </w:t>
            </w:r>
            <w:r>
              <w:rPr>
                <w:rFonts w:hint="default" w:ascii="Times New Roman" w:hAnsi="Times New Roman" w:eastAsia="宋体" w:cs="Times New Roman"/>
                <w:color w:val="000000"/>
                <w:szCs w:val="24"/>
                <w:highlight w:val="none"/>
              </w:rPr>
              <w:t>min，吸取溶液于洁净的1.5</w:t>
            </w:r>
            <w:r>
              <w:rPr>
                <w:rFonts w:hint="default" w:ascii="Times New Roman" w:hAnsi="Times New Roman" w:eastAsia="宋体" w:cs="Times New Roman"/>
                <w:color w:val="000000"/>
                <w:szCs w:val="24"/>
                <w:highlight w:val="none"/>
                <w:lang w:val="en-US" w:eastAsia="zh-CN"/>
              </w:rPr>
              <w:t xml:space="preserve"> </w:t>
            </w:r>
            <w:r>
              <w:rPr>
                <w:rFonts w:hint="default" w:ascii="Times New Roman" w:hAnsi="Times New Roman" w:eastAsia="宋体" w:cs="Times New Roman"/>
                <w:color w:val="000000"/>
                <w:szCs w:val="24"/>
                <w:highlight w:val="none"/>
              </w:rPr>
              <w:t>mL离心管中，即得到样品DNA。可立即用于实验，也可保持于-20</w:t>
            </w:r>
            <w:r>
              <w:rPr>
                <w:rFonts w:hint="default" w:ascii="Times New Roman" w:hAnsi="Times New Roman" w:cs="Times New Roman"/>
                <w:color w:val="000000"/>
                <w:szCs w:val="24"/>
                <w:highlight w:val="none"/>
                <w:lang w:val="en-US" w:eastAsia="zh-CN"/>
              </w:rPr>
              <w:t xml:space="preserve"> </w:t>
            </w:r>
            <w:r>
              <w:rPr>
                <w:rFonts w:hint="default" w:ascii="Times New Roman" w:hAnsi="Times New Roman" w:eastAsia="宋体" w:cs="Times New Roman"/>
                <w:color w:val="000000"/>
                <w:szCs w:val="24"/>
                <w:highlight w:val="none"/>
              </w:rPr>
              <w:t>℃条件备用。</w:t>
            </w:r>
          </w:p>
          <w:p>
            <w:pPr>
              <w:keepNext w:val="0"/>
              <w:keepLines w:val="0"/>
              <w:pageBreakBefore w:val="0"/>
              <w:numPr>
                <w:ilvl w:val="0"/>
                <w:numId w:val="0"/>
              </w:numPr>
              <w:kinsoku/>
              <w:wordWrap/>
              <w:overflowPunct/>
              <w:topLinePunct w:val="0"/>
              <w:bidi w:val="0"/>
              <w:spacing w:line="440" w:lineRule="exact"/>
              <w:ind w:firstLine="422" w:firstLineChars="200"/>
              <w:rPr>
                <w:rFonts w:hint="default" w:ascii="Times New Roman" w:hAnsi="Times New Roman" w:cs="Times New Roman"/>
                <w:b/>
                <w:bCs/>
                <w:color w:val="000000"/>
                <w:sz w:val="21"/>
                <w:szCs w:val="21"/>
                <w:lang w:val="en-US" w:eastAsia="zh-CN"/>
              </w:rPr>
            </w:pPr>
            <w:r>
              <w:rPr>
                <w:rFonts w:hint="default" w:ascii="Times New Roman" w:hAnsi="Times New Roman" w:cs="Times New Roman"/>
                <w:b/>
                <w:bCs/>
                <w:color w:val="000000"/>
                <w:sz w:val="21"/>
                <w:szCs w:val="21"/>
                <w:lang w:val="en-US" w:eastAsia="zh-CN"/>
              </w:rPr>
              <w:t>6.2 DNA浓度和纯度测定</w:t>
            </w:r>
          </w:p>
          <w:p>
            <w:pPr>
              <w:autoSpaceDE/>
              <w:autoSpaceDN/>
              <w:spacing w:line="360" w:lineRule="auto"/>
              <w:ind w:firstLine="420" w:firstLineChars="200"/>
              <w:jc w:val="left"/>
              <w:rPr>
                <w:rFonts w:hint="default" w:ascii="Times New Roman" w:hAnsi="Times New Roman" w:eastAsia="宋体" w:cs="Times New Roman"/>
                <w:color w:val="000000"/>
                <w:szCs w:val="24"/>
                <w:highlight w:val="none"/>
              </w:rPr>
            </w:pPr>
            <w:r>
              <w:rPr>
                <w:rFonts w:hint="default" w:ascii="Times New Roman" w:hAnsi="Times New Roman" w:eastAsia="宋体" w:cs="Times New Roman"/>
                <w:color w:val="000000"/>
                <w:szCs w:val="24"/>
                <w:highlight w:val="none"/>
              </w:rPr>
              <w:t>通过反复实验，DNA质量对于芯片检测灵敏度非常关键，由于芯片法样本DNA模板加样体积受到一定的限制，一般较qPCR小，因此，更加注重提取样本DNA的浓度和纯度，否则会影响检测下限。本标准要求对核酸的质量进行实际控制，具体方法如下：</w:t>
            </w:r>
          </w:p>
          <w:p>
            <w:pPr>
              <w:autoSpaceDE/>
              <w:autoSpaceDN/>
              <w:spacing w:line="360" w:lineRule="auto"/>
              <w:ind w:firstLine="420" w:firstLineChars="200"/>
              <w:jc w:val="left"/>
              <w:rPr>
                <w:rFonts w:hint="default" w:ascii="Times New Roman" w:hAnsi="Times New Roman" w:eastAsia="宋体" w:cs="Times New Roman"/>
                <w:szCs w:val="24"/>
                <w:highlight w:val="yellow"/>
                <w:lang w:eastAsia="zh-CN"/>
              </w:rPr>
            </w:pPr>
            <w:r>
              <w:rPr>
                <w:rFonts w:hint="default" w:ascii="Times New Roman" w:hAnsi="Times New Roman" w:eastAsia="宋体" w:cs="Times New Roman"/>
                <w:color w:val="000000"/>
                <w:szCs w:val="24"/>
                <w:highlight w:val="none"/>
              </w:rPr>
              <w:t>取1</w:t>
            </w:r>
            <w:r>
              <w:rPr>
                <w:rFonts w:hint="default" w:ascii="Times New Roman" w:hAnsi="Times New Roman" w:eastAsia="宋体" w:cs="Times New Roman"/>
                <w:szCs w:val="24"/>
                <w:highlight w:val="none"/>
              </w:rPr>
              <w:t>μL DNA溶液，使用核酸蛋白分析仪检测其浓度及质量，OD</w:t>
            </w:r>
            <w:r>
              <w:rPr>
                <w:rFonts w:hint="default" w:ascii="Times New Roman" w:hAnsi="Times New Roman" w:eastAsia="宋体" w:cs="Times New Roman"/>
                <w:szCs w:val="24"/>
                <w:highlight w:val="none"/>
                <w:vertAlign w:val="subscript"/>
              </w:rPr>
              <w:t>260/280</w:t>
            </w:r>
            <w:r>
              <w:rPr>
                <w:rFonts w:hint="default" w:ascii="Times New Roman" w:hAnsi="Times New Roman" w:eastAsia="宋体" w:cs="Times New Roman"/>
                <w:szCs w:val="24"/>
                <w:highlight w:val="none"/>
              </w:rPr>
              <w:t>值应在1.7～1.9之间</w:t>
            </w:r>
            <w:r>
              <w:rPr>
                <w:rFonts w:hint="default" w:ascii="Times New Roman" w:hAnsi="Times New Roman" w:eastAsia="宋体" w:cs="Times New Roman"/>
                <w:szCs w:val="24"/>
                <w:highlight w:val="none"/>
                <w:lang w:eastAsia="zh-CN"/>
              </w:rPr>
              <w:t>，</w:t>
            </w:r>
            <w:r>
              <w:rPr>
                <w:rFonts w:hint="default" w:ascii="Times New Roman" w:hAnsi="Times New Roman" w:eastAsia="宋体" w:cs="Times New Roman"/>
                <w:szCs w:val="24"/>
                <w:highlight w:val="none"/>
                <w:lang w:val="en-US" w:eastAsia="zh-CN"/>
              </w:rPr>
              <w:t>DNA浓度应＞</w:t>
            </w:r>
            <w:r>
              <w:rPr>
                <w:rFonts w:hint="eastAsia" w:ascii="Times New Roman" w:hAnsi="Times New Roman" w:cs="Times New Roman"/>
                <w:szCs w:val="24"/>
                <w:highlight w:val="none"/>
                <w:lang w:val="en-US" w:eastAsia="zh-CN"/>
              </w:rPr>
              <w:t>1</w:t>
            </w:r>
            <w:r>
              <w:rPr>
                <w:rFonts w:hint="default" w:ascii="Times New Roman" w:hAnsi="Times New Roman" w:eastAsia="宋体" w:cs="Times New Roman"/>
                <w:szCs w:val="24"/>
                <w:highlight w:val="none"/>
                <w:lang w:val="en-US" w:eastAsia="zh-CN"/>
              </w:rPr>
              <w:t>0 ng/μL</w:t>
            </w:r>
            <w:r>
              <w:rPr>
                <w:rFonts w:hint="default" w:ascii="Times New Roman" w:hAnsi="Times New Roman" w:eastAsia="宋体" w:cs="Times New Roman"/>
                <w:szCs w:val="24"/>
                <w:highlight w:val="none"/>
                <w:lang w:eastAsia="zh-CN"/>
              </w:rPr>
              <w:t>。</w:t>
            </w:r>
          </w:p>
          <w:p>
            <w:pPr>
              <w:keepNext w:val="0"/>
              <w:keepLines w:val="0"/>
              <w:pageBreakBefore w:val="0"/>
              <w:numPr>
                <w:ilvl w:val="0"/>
                <w:numId w:val="0"/>
              </w:numPr>
              <w:kinsoku/>
              <w:wordWrap/>
              <w:overflowPunct/>
              <w:topLinePunct w:val="0"/>
              <w:bidi w:val="0"/>
              <w:spacing w:line="440" w:lineRule="exact"/>
              <w:ind w:firstLine="422" w:firstLineChars="200"/>
              <w:rPr>
                <w:rFonts w:hint="default" w:ascii="Times New Roman" w:hAnsi="Times New Roman" w:cs="Times New Roman"/>
                <w:b/>
                <w:bCs/>
                <w:color w:val="000000"/>
                <w:sz w:val="21"/>
                <w:szCs w:val="21"/>
                <w:lang w:val="en-US" w:eastAsia="zh-CN"/>
              </w:rPr>
            </w:pPr>
            <w:r>
              <w:rPr>
                <w:rFonts w:hint="default" w:ascii="Times New Roman" w:hAnsi="Times New Roman" w:cs="Times New Roman"/>
                <w:b/>
                <w:bCs/>
                <w:color w:val="000000"/>
                <w:sz w:val="21"/>
                <w:szCs w:val="21"/>
                <w:lang w:val="en-US" w:eastAsia="zh-CN"/>
              </w:rPr>
              <w:t>6.3 恒温扩增</w:t>
            </w:r>
          </w:p>
          <w:p>
            <w:pPr>
              <w:autoSpaceDE/>
              <w:autoSpaceDN/>
              <w:spacing w:line="360" w:lineRule="auto"/>
              <w:ind w:firstLine="420" w:firstLineChars="200"/>
              <w:jc w:val="left"/>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本标准方法采用预混液+模板DNA形式，操作简单，但需要先在芯片的进油口加入白油，目的是作为芯片</w:t>
            </w:r>
            <w:r>
              <w:rPr>
                <w:rFonts w:hint="default" w:ascii="Times New Roman" w:hAnsi="Times New Roman" w:eastAsia="宋体" w:cs="Times New Roman"/>
                <w:szCs w:val="24"/>
                <w:highlight w:val="none"/>
                <w:lang w:val="en-US" w:eastAsia="zh-CN"/>
              </w:rPr>
              <w:t>扩增反应预混</w:t>
            </w:r>
            <w:r>
              <w:rPr>
                <w:rFonts w:hint="default" w:ascii="Times New Roman" w:hAnsi="Times New Roman" w:eastAsia="宋体" w:cs="Times New Roman"/>
                <w:szCs w:val="24"/>
                <w:highlight w:val="none"/>
              </w:rPr>
              <w:t>液移动的介质，然后再加入预混液和模板，上机检测，仪器设置温度为63℃，反应时间45min。</w:t>
            </w:r>
          </w:p>
          <w:p>
            <w:pPr>
              <w:autoSpaceDE/>
              <w:autoSpaceDN/>
              <w:spacing w:line="360" w:lineRule="auto"/>
              <w:ind w:firstLine="420" w:firstLineChars="200"/>
              <w:jc w:val="left"/>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具体操作如下：</w:t>
            </w:r>
          </w:p>
          <w:p>
            <w:pPr>
              <w:autoSpaceDE/>
              <w:autoSpaceDN/>
              <w:spacing w:line="360" w:lineRule="auto"/>
              <w:jc w:val="left"/>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（1）试剂配制</w:t>
            </w:r>
          </w:p>
          <w:p>
            <w:pPr>
              <w:autoSpaceDE/>
              <w:autoSpaceDN/>
              <w:spacing w:line="360" w:lineRule="auto"/>
              <w:ind w:firstLine="420" w:firstLineChars="200"/>
              <w:jc w:val="left"/>
              <w:rPr>
                <w:rFonts w:hint="default" w:ascii="Times New Roman" w:hAnsi="Times New Roman" w:eastAsia="宋体" w:cs="Times New Roman"/>
                <w:color w:val="000000"/>
                <w:szCs w:val="24"/>
                <w:highlight w:val="none"/>
              </w:rPr>
            </w:pPr>
            <w:r>
              <w:rPr>
                <w:rFonts w:hint="default" w:ascii="Times New Roman" w:hAnsi="Times New Roman" w:eastAsia="宋体" w:cs="Times New Roman"/>
                <w:color w:val="000000"/>
                <w:szCs w:val="24"/>
                <w:highlight w:val="none"/>
              </w:rPr>
              <w:t>从-20</w:t>
            </w:r>
            <w:r>
              <w:rPr>
                <w:rFonts w:hint="default" w:ascii="Times New Roman" w:hAnsi="Times New Roman" w:eastAsia="宋体" w:cs="Times New Roman"/>
                <w:color w:val="000000"/>
                <w:szCs w:val="24"/>
                <w:highlight w:val="none"/>
                <w:lang w:val="en-US" w:eastAsia="zh-CN"/>
              </w:rPr>
              <w:t xml:space="preserve"> </w:t>
            </w:r>
            <w:r>
              <w:rPr>
                <w:rFonts w:hint="default" w:ascii="Times New Roman" w:hAnsi="Times New Roman" w:eastAsia="宋体" w:cs="Times New Roman"/>
                <w:color w:val="000000"/>
                <w:szCs w:val="24"/>
                <w:highlight w:val="none"/>
              </w:rPr>
              <w:t>℃±5</w:t>
            </w:r>
            <w:r>
              <w:rPr>
                <w:rFonts w:hint="default" w:ascii="Times New Roman" w:hAnsi="Times New Roman" w:eastAsia="宋体" w:cs="Times New Roman"/>
                <w:color w:val="000000"/>
                <w:szCs w:val="24"/>
                <w:highlight w:val="none"/>
                <w:lang w:val="en-US" w:eastAsia="zh-CN"/>
              </w:rPr>
              <w:t xml:space="preserve"> </w:t>
            </w:r>
            <w:r>
              <w:rPr>
                <w:rFonts w:hint="default" w:ascii="Times New Roman" w:hAnsi="Times New Roman" w:eastAsia="宋体" w:cs="Times New Roman"/>
                <w:color w:val="000000"/>
                <w:szCs w:val="24"/>
                <w:highlight w:val="none"/>
              </w:rPr>
              <w:t>℃取出试剂，将各试剂于室温下解冻，充分混匀并离心后备用。取出1.5</w:t>
            </w:r>
            <w:r>
              <w:rPr>
                <w:rFonts w:hint="default" w:ascii="Times New Roman" w:hAnsi="Times New Roman" w:eastAsia="宋体" w:cs="Times New Roman"/>
                <w:color w:val="000000"/>
                <w:szCs w:val="24"/>
                <w:highlight w:val="none"/>
                <w:lang w:val="en-US" w:eastAsia="zh-CN"/>
              </w:rPr>
              <w:t xml:space="preserve"> </w:t>
            </w:r>
            <w:r>
              <w:rPr>
                <w:rFonts w:hint="default" w:ascii="Times New Roman" w:hAnsi="Times New Roman" w:eastAsia="宋体" w:cs="Times New Roman"/>
                <w:color w:val="000000"/>
                <w:szCs w:val="24"/>
                <w:highlight w:val="none"/>
              </w:rPr>
              <w:t>mL离心管，按照表2体系，每个样品吸取2</w:t>
            </w:r>
            <w:r>
              <w:rPr>
                <w:rFonts w:hint="default" w:ascii="Times New Roman" w:hAnsi="Times New Roman" w:eastAsia="宋体" w:cs="Times New Roman"/>
                <w:color w:val="000000"/>
                <w:szCs w:val="24"/>
                <w:highlight w:val="none"/>
                <w:lang w:val="en-US" w:eastAsia="zh-CN"/>
              </w:rPr>
              <w:t xml:space="preserve">0 </w:t>
            </w:r>
            <w:r>
              <w:rPr>
                <w:rFonts w:hint="default" w:ascii="Times New Roman" w:hAnsi="Times New Roman" w:eastAsia="宋体" w:cs="Times New Roman"/>
                <w:color w:val="000000"/>
                <w:szCs w:val="24"/>
                <w:highlight w:val="none"/>
              </w:rPr>
              <w:t>μL恒温荧光扩增预混液和</w:t>
            </w:r>
            <w:r>
              <w:rPr>
                <w:rFonts w:hint="default" w:ascii="Times New Roman" w:hAnsi="Times New Roman" w:eastAsia="宋体" w:cs="Times New Roman"/>
                <w:color w:val="000000"/>
                <w:szCs w:val="24"/>
                <w:highlight w:val="none"/>
                <w:lang w:val="en-US" w:eastAsia="zh-CN"/>
              </w:rPr>
              <w:t xml:space="preserve">5 </w:t>
            </w:r>
            <w:r>
              <w:rPr>
                <w:rFonts w:hint="default" w:ascii="Times New Roman" w:hAnsi="Times New Roman" w:eastAsia="宋体" w:cs="Times New Roman"/>
                <w:color w:val="000000"/>
                <w:szCs w:val="24"/>
                <w:highlight w:val="none"/>
              </w:rPr>
              <w:t>μL DNA模板，漩涡振荡混匀并瞬时离心，总体积为25</w:t>
            </w:r>
            <w:r>
              <w:rPr>
                <w:rFonts w:hint="default" w:ascii="Times New Roman" w:hAnsi="Times New Roman" w:eastAsia="宋体" w:cs="Times New Roman"/>
                <w:color w:val="000000"/>
                <w:szCs w:val="24"/>
                <w:highlight w:val="none"/>
                <w:lang w:val="en-US" w:eastAsia="zh-CN"/>
              </w:rPr>
              <w:t xml:space="preserve"> </w:t>
            </w:r>
            <w:r>
              <w:rPr>
                <w:rFonts w:hint="default" w:ascii="Times New Roman" w:hAnsi="Times New Roman" w:eastAsia="宋体" w:cs="Times New Roman"/>
                <w:color w:val="000000"/>
                <w:szCs w:val="24"/>
                <w:highlight w:val="none"/>
              </w:rPr>
              <w:t>μL。</w:t>
            </w:r>
          </w:p>
          <w:p>
            <w:pPr>
              <w:autoSpaceDE/>
              <w:autoSpaceDN/>
              <w:spacing w:line="360" w:lineRule="auto"/>
              <w:jc w:val="left"/>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（2）数字微流控芯片加样</w:t>
            </w:r>
          </w:p>
          <w:p>
            <w:pPr>
              <w:autoSpaceDE/>
              <w:autoSpaceDN/>
              <w:spacing w:line="360" w:lineRule="auto"/>
              <w:ind w:firstLine="420" w:firstLineChars="200"/>
              <w:jc w:val="left"/>
              <w:rPr>
                <w:rFonts w:hint="default" w:ascii="Times New Roman" w:hAnsi="Times New Roman" w:eastAsia="宋体" w:cs="Times New Roman"/>
                <w:color w:val="000000"/>
                <w:szCs w:val="24"/>
                <w:highlight w:val="none"/>
              </w:rPr>
            </w:pPr>
            <w:r>
              <w:rPr>
                <w:rFonts w:hint="default" w:ascii="Times New Roman" w:hAnsi="Times New Roman" w:eastAsia="宋体" w:cs="Times New Roman"/>
                <w:color w:val="000000"/>
                <w:szCs w:val="24"/>
                <w:highlight w:val="none"/>
              </w:rPr>
              <w:t>用移液枪吸取550</w:t>
            </w:r>
            <w:r>
              <w:rPr>
                <w:rFonts w:hint="default" w:ascii="Times New Roman" w:hAnsi="Times New Roman" w:eastAsia="宋体" w:cs="Times New Roman"/>
                <w:color w:val="000000"/>
                <w:szCs w:val="24"/>
                <w:highlight w:val="none"/>
                <w:lang w:val="en-US" w:eastAsia="zh-CN"/>
              </w:rPr>
              <w:t xml:space="preserve"> </w:t>
            </w:r>
            <w:r>
              <w:rPr>
                <w:rFonts w:hint="default" w:ascii="Times New Roman" w:hAnsi="Times New Roman" w:eastAsia="宋体" w:cs="Times New Roman"/>
                <w:color w:val="000000"/>
                <w:szCs w:val="24"/>
                <w:highlight w:val="none"/>
              </w:rPr>
              <w:t>μL白油，从数字微流控芯片的进油口缓慢加入，使</w:t>
            </w:r>
            <w:r>
              <w:rPr>
                <w:rFonts w:hint="default" w:ascii="Times New Roman" w:hAnsi="Times New Roman" w:eastAsia="宋体" w:cs="Times New Roman"/>
                <w:color w:val="000000"/>
                <w:szCs w:val="24"/>
                <w:highlight w:val="none"/>
                <w:lang w:val="en-US" w:eastAsia="zh-CN"/>
              </w:rPr>
              <w:t>整张</w:t>
            </w:r>
            <w:r>
              <w:rPr>
                <w:rFonts w:hint="default" w:ascii="Times New Roman" w:hAnsi="Times New Roman" w:eastAsia="宋体" w:cs="Times New Roman"/>
                <w:color w:val="000000"/>
                <w:szCs w:val="24"/>
                <w:highlight w:val="none"/>
              </w:rPr>
              <w:t>芯片全部浸润白油为止，用移液枪吸取18</w:t>
            </w:r>
            <w:r>
              <w:rPr>
                <w:rFonts w:hint="default" w:ascii="Times New Roman" w:hAnsi="Times New Roman" w:eastAsia="宋体" w:cs="Times New Roman"/>
                <w:color w:val="000000"/>
                <w:szCs w:val="24"/>
                <w:highlight w:val="none"/>
                <w:lang w:val="en-US" w:eastAsia="zh-CN"/>
              </w:rPr>
              <w:t xml:space="preserve"> </w:t>
            </w:r>
            <w:r>
              <w:rPr>
                <w:rFonts w:hint="default" w:ascii="Times New Roman" w:hAnsi="Times New Roman" w:eastAsia="宋体" w:cs="Times New Roman"/>
                <w:color w:val="000000"/>
                <w:szCs w:val="24"/>
                <w:highlight w:val="none"/>
              </w:rPr>
              <w:t>μL配制好的反应试剂从芯片的弧形进液口缓慢加入</w:t>
            </w:r>
            <w:r>
              <w:rPr>
                <w:rFonts w:hint="default" w:ascii="Times New Roman" w:hAnsi="Times New Roman" w:eastAsia="宋体" w:cs="Times New Roman"/>
                <w:color w:val="000000"/>
                <w:szCs w:val="24"/>
                <w:highlight w:val="none"/>
                <w:lang w:eastAsia="zh-CN"/>
              </w:rPr>
              <w:t>。</w:t>
            </w:r>
            <w:r>
              <w:rPr>
                <w:rFonts w:hint="default" w:ascii="Times New Roman" w:hAnsi="Times New Roman" w:eastAsia="宋体" w:cs="Times New Roman"/>
                <w:color w:val="000000"/>
                <w:szCs w:val="24"/>
                <w:highlight w:val="none"/>
                <w:lang w:val="en-US" w:eastAsia="zh-CN"/>
              </w:rPr>
              <w:t>本标准中选择加入18 μL的反应液，能保证6个孔位都能获得足够的反应溶液，保证检测效果；又能减少试剂的使用，节约检测成本</w:t>
            </w:r>
            <w:r>
              <w:rPr>
                <w:rFonts w:hint="default" w:ascii="Times New Roman" w:hAnsi="Times New Roman" w:eastAsia="宋体" w:cs="Times New Roman"/>
                <w:color w:val="000000"/>
                <w:szCs w:val="24"/>
                <w:highlight w:val="none"/>
              </w:rPr>
              <w:t>。</w:t>
            </w:r>
          </w:p>
          <w:p>
            <w:pPr>
              <w:autoSpaceDE/>
              <w:autoSpaceDN/>
              <w:spacing w:line="360" w:lineRule="auto"/>
              <w:jc w:val="left"/>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（3） 上机测试</w:t>
            </w:r>
          </w:p>
          <w:p>
            <w:pPr>
              <w:autoSpaceDE/>
              <w:autoSpaceDN/>
              <w:spacing w:line="360" w:lineRule="auto"/>
              <w:ind w:firstLine="420" w:firstLineChars="200"/>
              <w:jc w:val="left"/>
              <w:rPr>
                <w:rFonts w:hint="default" w:ascii="Times New Roman" w:hAnsi="Times New Roman" w:eastAsia="宋体" w:cs="Times New Roman"/>
                <w:color w:val="000000"/>
                <w:szCs w:val="24"/>
                <w:highlight w:val="none"/>
              </w:rPr>
            </w:pPr>
            <w:r>
              <w:rPr>
                <w:rFonts w:hint="default" w:ascii="Times New Roman" w:hAnsi="Times New Roman" w:eastAsia="宋体" w:cs="Times New Roman"/>
                <w:color w:val="000000"/>
                <w:szCs w:val="24"/>
                <w:highlight w:val="none"/>
              </w:rPr>
              <w:t>将加样后的芯片连同卡托一同放入检测设备中，反应温度和程序如表4：</w:t>
            </w:r>
          </w:p>
          <w:p>
            <w:pPr>
              <w:autoSpaceDE/>
              <w:autoSpaceDN/>
              <w:spacing w:line="360" w:lineRule="auto"/>
              <w:ind w:firstLine="420" w:firstLineChars="200"/>
              <w:jc w:val="center"/>
              <w:rPr>
                <w:rFonts w:hint="default" w:ascii="Times New Roman" w:hAnsi="Times New Roman" w:eastAsia="黑体" w:cs="Times New Roman"/>
                <w:sz w:val="21"/>
                <w:szCs w:val="21"/>
                <w:highlight w:val="none"/>
              </w:rPr>
            </w:pPr>
            <w:r>
              <w:rPr>
                <w:rFonts w:hint="default" w:ascii="Times New Roman" w:hAnsi="Times New Roman" w:eastAsia="黑体" w:cs="Times New Roman"/>
                <w:sz w:val="21"/>
                <w:szCs w:val="21"/>
                <w:highlight w:val="none"/>
              </w:rPr>
              <w:t>表4 恒温扩增反应条件</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autoSpaceDE/>
                    <w:autoSpaceDN/>
                    <w:spacing w:line="360" w:lineRule="auto"/>
                    <w:jc w:val="center"/>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温度</w:t>
                  </w:r>
                </w:p>
              </w:tc>
              <w:tc>
                <w:tcPr>
                  <w:tcW w:w="2841" w:type="dxa"/>
                </w:tcPr>
                <w:p>
                  <w:pPr>
                    <w:autoSpaceDE/>
                    <w:autoSpaceDN/>
                    <w:spacing w:line="360" w:lineRule="auto"/>
                    <w:jc w:val="center"/>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反应时间</w:t>
                  </w:r>
                </w:p>
              </w:tc>
              <w:tc>
                <w:tcPr>
                  <w:tcW w:w="2841" w:type="dxa"/>
                </w:tcPr>
                <w:p>
                  <w:pPr>
                    <w:autoSpaceDE/>
                    <w:autoSpaceDN/>
                    <w:spacing w:line="360" w:lineRule="auto"/>
                    <w:jc w:val="center"/>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荧光采集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autoSpaceDE/>
                    <w:autoSpaceDN/>
                    <w:spacing w:line="360" w:lineRule="auto"/>
                    <w:jc w:val="center"/>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63℃</w:t>
                  </w:r>
                </w:p>
              </w:tc>
              <w:tc>
                <w:tcPr>
                  <w:tcW w:w="2841" w:type="dxa"/>
                </w:tcPr>
                <w:p>
                  <w:pPr>
                    <w:autoSpaceDE/>
                    <w:autoSpaceDN/>
                    <w:spacing w:line="360" w:lineRule="auto"/>
                    <w:jc w:val="center"/>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45min</w:t>
                  </w:r>
                </w:p>
              </w:tc>
              <w:tc>
                <w:tcPr>
                  <w:tcW w:w="2841" w:type="dxa"/>
                </w:tcPr>
                <w:p>
                  <w:pPr>
                    <w:autoSpaceDE/>
                    <w:autoSpaceDN/>
                    <w:spacing w:line="360" w:lineRule="auto"/>
                    <w:jc w:val="center"/>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每分钟采集1次</w:t>
                  </w:r>
                </w:p>
              </w:tc>
            </w:tr>
          </w:tbl>
          <w:p>
            <w:pPr>
              <w:keepNext w:val="0"/>
              <w:keepLines w:val="0"/>
              <w:pageBreakBefore w:val="0"/>
              <w:numPr>
                <w:ilvl w:val="0"/>
                <w:numId w:val="0"/>
              </w:numPr>
              <w:kinsoku/>
              <w:wordWrap/>
              <w:overflowPunct/>
              <w:topLinePunct w:val="0"/>
              <w:bidi w:val="0"/>
              <w:spacing w:line="440" w:lineRule="exact"/>
              <w:ind w:firstLine="422" w:firstLineChars="200"/>
              <w:rPr>
                <w:rFonts w:hint="default" w:ascii="Times New Roman" w:hAnsi="Times New Roman" w:cs="Times New Roman"/>
                <w:b/>
                <w:bCs/>
                <w:color w:val="000000"/>
                <w:sz w:val="21"/>
                <w:szCs w:val="21"/>
                <w:lang w:val="en-US" w:eastAsia="zh-CN"/>
              </w:rPr>
            </w:pPr>
            <w:r>
              <w:rPr>
                <w:rFonts w:hint="default" w:ascii="Times New Roman" w:hAnsi="Times New Roman" w:cs="Times New Roman"/>
                <w:b/>
                <w:bCs/>
                <w:color w:val="000000"/>
                <w:sz w:val="21"/>
                <w:szCs w:val="21"/>
                <w:lang w:val="en-US" w:eastAsia="zh-CN"/>
              </w:rPr>
              <w:t>6.4 结果判断</w:t>
            </w:r>
          </w:p>
          <w:p>
            <w:pPr>
              <w:autoSpaceDE/>
              <w:autoSpaceDN/>
              <w:spacing w:line="360" w:lineRule="auto"/>
              <w:ind w:firstLine="420" w:firstLineChars="200"/>
              <w:jc w:val="left"/>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阈值线设置是PCR反应结果的重要显示，</w:t>
            </w:r>
            <w:r>
              <w:rPr>
                <w:rFonts w:hint="default" w:ascii="Times New Roman" w:hAnsi="Times New Roman" w:eastAsia="宋体" w:cs="Times New Roman"/>
                <w:szCs w:val="24"/>
                <w:highlight w:val="none"/>
                <w:lang w:val="en-US" w:eastAsia="zh-CN"/>
              </w:rPr>
              <w:t>在标准中数字微流控芯片检测仪器软件算法为10倍基线期荧光值的标准差（SD值），也可以手动设置</w:t>
            </w:r>
            <w:r>
              <w:rPr>
                <w:rFonts w:hint="default" w:ascii="Times New Roman" w:hAnsi="Times New Roman" w:eastAsia="宋体" w:cs="Times New Roman"/>
                <w:szCs w:val="24"/>
                <w:highlight w:val="none"/>
              </w:rPr>
              <w:t>为扩增曲线荧光强度的1/10</w:t>
            </w:r>
            <w:r>
              <w:rPr>
                <w:rFonts w:hint="default" w:ascii="Times New Roman" w:hAnsi="Times New Roman" w:eastAsia="宋体" w:cs="Times New Roman"/>
                <w:szCs w:val="24"/>
                <w:highlight w:val="none"/>
                <w:lang w:eastAsia="zh-CN"/>
              </w:rPr>
              <w:t>，</w:t>
            </w:r>
            <w:r>
              <w:rPr>
                <w:rFonts w:hint="default" w:ascii="Times New Roman" w:hAnsi="Times New Roman" w:eastAsia="宋体" w:cs="Times New Roman"/>
                <w:szCs w:val="24"/>
                <w:highlight w:val="none"/>
                <w:lang w:val="en-US" w:eastAsia="zh-CN"/>
              </w:rPr>
              <w:t>如本次扩增最高荧光强度为1000 RFU，则阈值线可手工调为100 RFU。特殊情况下，如检测结果出现荧光信号强度较低的非典型性扩增，则可根据实际情况，设定阈值</w:t>
            </w:r>
            <w:r>
              <w:rPr>
                <w:rFonts w:hint="default" w:ascii="Times New Roman" w:hAnsi="Times New Roman" w:eastAsia="宋体" w:cs="Times New Roman"/>
                <w:szCs w:val="24"/>
                <w:highlight w:val="none"/>
              </w:rPr>
              <w:t>线刚好超过非典型扩增的最高点。</w:t>
            </w:r>
          </w:p>
          <w:p>
            <w:pPr>
              <w:autoSpaceDE/>
              <w:autoSpaceDN/>
              <w:spacing w:line="360" w:lineRule="auto"/>
              <w:jc w:val="left"/>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（1）阈值线设置</w:t>
            </w:r>
          </w:p>
          <w:p>
            <w:pPr>
              <w:autoSpaceDE/>
              <w:autoSpaceDN/>
              <w:spacing w:line="360" w:lineRule="auto"/>
              <w:ind w:firstLine="420"/>
              <w:jc w:val="left"/>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lang w:val="en-US" w:eastAsia="zh-CN"/>
              </w:rPr>
              <w:t>一般情况仪器自动设定，也可手动</w:t>
            </w:r>
            <w:r>
              <w:rPr>
                <w:rFonts w:hint="default" w:ascii="Times New Roman" w:hAnsi="Times New Roman" w:eastAsia="宋体" w:cs="Times New Roman"/>
                <w:szCs w:val="24"/>
                <w:highlight w:val="none"/>
              </w:rPr>
              <w:t>设置为扩增曲线荧光强度的1/10，也可根据实际情况进行调整，设定原则以阈值线刚好超过非典型S型扩增的最高点。</w:t>
            </w:r>
          </w:p>
          <w:p>
            <w:pPr>
              <w:autoSpaceDE/>
              <w:autoSpaceDN/>
              <w:spacing w:line="360" w:lineRule="auto"/>
              <w:jc w:val="left"/>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（2）结果判定</w:t>
            </w:r>
          </w:p>
          <w:p>
            <w:pPr>
              <w:widowControl/>
              <w:adjustRightInd/>
              <w:spacing w:line="360" w:lineRule="auto"/>
              <w:ind w:firstLine="420" w:firstLineChars="200"/>
              <w:jc w:val="left"/>
              <w:rPr>
                <w:rFonts w:hint="default" w:ascii="Times New Roman" w:hAnsi="Times New Roman" w:cs="Times New Roman"/>
                <w:color w:val="000000"/>
                <w:kern w:val="0"/>
                <w:szCs w:val="21"/>
                <w:highlight w:val="none"/>
                <w:lang w:val="en-US" w:eastAsia="zh-CN"/>
              </w:rPr>
            </w:pPr>
            <w:r>
              <w:rPr>
                <w:rFonts w:hint="default" w:ascii="Times New Roman" w:hAnsi="Times New Roman" w:cs="Times New Roman"/>
                <w:color w:val="000000"/>
                <w:kern w:val="0"/>
                <w:szCs w:val="21"/>
                <w:highlight w:val="none"/>
                <w:lang w:val="en-US" w:eastAsia="zh-CN"/>
              </w:rPr>
              <w:t>任意一个反应孔或多个反应孔中荧光信号出现典型扩增曲线，且Tt值＜40，则该反应孔对应检测判断为阳性，即该样本中含有对应检测项目的核酸；未出现典型扩增曲线或Tt值＞40的反应孔判断为阴性，即该样本不含有对应检测项目的核酸。</w:t>
            </w:r>
          </w:p>
          <w:p>
            <w:pPr>
              <w:keepNext w:val="0"/>
              <w:keepLines w:val="0"/>
              <w:pageBreakBefore w:val="0"/>
              <w:numPr>
                <w:ilvl w:val="0"/>
                <w:numId w:val="3"/>
              </w:numPr>
              <w:kinsoku/>
              <w:wordWrap/>
              <w:overflowPunct/>
              <w:topLinePunct w:val="0"/>
              <w:bidi w:val="0"/>
              <w:spacing w:line="440" w:lineRule="exact"/>
              <w:ind w:firstLine="422" w:firstLineChars="200"/>
              <w:rPr>
                <w:rFonts w:hint="default" w:ascii="Times New Roman" w:hAnsi="Times New Roman" w:cs="Times New Roman"/>
                <w:b/>
                <w:bCs/>
                <w:color w:val="000000"/>
                <w:sz w:val="21"/>
                <w:szCs w:val="21"/>
                <w:lang w:val="en-US" w:eastAsia="zh-CN"/>
              </w:rPr>
            </w:pPr>
            <w:r>
              <w:rPr>
                <w:rFonts w:hint="default" w:ascii="Times New Roman" w:hAnsi="Times New Roman" w:cs="Times New Roman"/>
                <w:b/>
                <w:bCs/>
                <w:color w:val="000000"/>
                <w:sz w:val="21"/>
                <w:szCs w:val="21"/>
                <w:lang w:val="en-US" w:eastAsia="zh-CN"/>
              </w:rPr>
              <w:t>质量控制</w:t>
            </w:r>
          </w:p>
          <w:p>
            <w:pPr>
              <w:autoSpaceDE/>
              <w:autoSpaceDN/>
              <w:spacing w:line="360" w:lineRule="auto"/>
              <w:ind w:firstLine="420"/>
              <w:jc w:val="left"/>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本标准方法通过设置空白对照、阴性对照和阳性对照进行反应的控制，具体判断如下：</w:t>
            </w:r>
          </w:p>
          <w:p>
            <w:pPr>
              <w:autoSpaceDE/>
              <w:autoSpaceDN/>
              <w:spacing w:line="360" w:lineRule="auto"/>
              <w:ind w:firstLine="420"/>
              <w:jc w:val="left"/>
              <w:rPr>
                <w:rFonts w:hint="default" w:ascii="Times New Roman" w:hAnsi="Times New Roman" w:cs="Times New Roman" w:eastAsiaTheme="minorEastAsia"/>
                <w:szCs w:val="24"/>
                <w:highlight w:val="none"/>
              </w:rPr>
            </w:pPr>
            <w:r>
              <w:rPr>
                <w:rFonts w:hint="default" w:ascii="Times New Roman" w:hAnsi="Times New Roman" w:cs="Times New Roman" w:eastAsiaTheme="minorEastAsia"/>
                <w:szCs w:val="24"/>
                <w:highlight w:val="none"/>
              </w:rPr>
              <w:t>空白对照：反应时间45min内，</w:t>
            </w:r>
            <w:r>
              <w:rPr>
                <w:rFonts w:hint="default" w:ascii="Times New Roman" w:hAnsi="Times New Roman" w:cs="Times New Roman" w:eastAsiaTheme="minorEastAsia"/>
                <w:lang w:val="en-US" w:eastAsia="zh-CN"/>
              </w:rPr>
              <w:t>荧光信号未出现典型扩增曲线</w:t>
            </w:r>
            <w:r>
              <w:rPr>
                <w:rFonts w:hint="default" w:ascii="Times New Roman" w:hAnsi="Times New Roman" w:cs="Times New Roman" w:eastAsiaTheme="minorEastAsia"/>
                <w:szCs w:val="24"/>
                <w:highlight w:val="none"/>
              </w:rPr>
              <w:t>；</w:t>
            </w:r>
          </w:p>
          <w:p>
            <w:pPr>
              <w:autoSpaceDE/>
              <w:autoSpaceDN/>
              <w:spacing w:line="360" w:lineRule="auto"/>
              <w:ind w:firstLine="420"/>
              <w:jc w:val="left"/>
              <w:rPr>
                <w:rFonts w:hint="default" w:ascii="Times New Roman" w:hAnsi="Times New Roman" w:cs="Times New Roman" w:eastAsiaTheme="minorEastAsia"/>
                <w:szCs w:val="24"/>
                <w:highlight w:val="none"/>
              </w:rPr>
            </w:pPr>
            <w:r>
              <w:rPr>
                <w:rFonts w:hint="default" w:ascii="Times New Roman" w:hAnsi="Times New Roman" w:cs="Times New Roman" w:eastAsiaTheme="minorEastAsia"/>
                <w:szCs w:val="24"/>
                <w:highlight w:val="none"/>
              </w:rPr>
              <w:t>阴性对照：反应时间45min内，</w:t>
            </w:r>
            <w:r>
              <w:rPr>
                <w:rFonts w:hint="default" w:ascii="Times New Roman" w:hAnsi="Times New Roman" w:cs="Times New Roman" w:eastAsiaTheme="minorEastAsia"/>
                <w:lang w:val="en-US" w:eastAsia="zh-CN"/>
              </w:rPr>
              <w:t>荧光信号未出现典型扩增曲线</w:t>
            </w:r>
            <w:r>
              <w:rPr>
                <w:rFonts w:hint="default" w:ascii="Times New Roman" w:hAnsi="Times New Roman" w:cs="Times New Roman" w:eastAsiaTheme="minorEastAsia"/>
                <w:szCs w:val="24"/>
                <w:highlight w:val="none"/>
              </w:rPr>
              <w:t>；</w:t>
            </w:r>
          </w:p>
          <w:p>
            <w:pPr>
              <w:adjustRightInd/>
              <w:spacing w:before="0" w:beforeLines="0" w:after="0" w:afterLines="0" w:line="360" w:lineRule="auto"/>
              <w:ind w:firstLine="420" w:firstLineChars="200"/>
              <w:jc w:val="left"/>
              <w:rPr>
                <w:rFonts w:hint="default" w:ascii="Times New Roman" w:hAnsi="Times New Roman" w:cs="Times New Roman" w:eastAsiaTheme="minorEastAsia"/>
                <w:szCs w:val="24"/>
                <w:highlight w:val="none"/>
              </w:rPr>
            </w:pPr>
            <w:r>
              <w:rPr>
                <w:rFonts w:hint="default" w:ascii="Times New Roman" w:hAnsi="Times New Roman" w:cs="Times New Roman" w:eastAsiaTheme="minorEastAsia"/>
                <w:szCs w:val="24"/>
                <w:highlight w:val="none"/>
              </w:rPr>
              <w:t>阳性对照：反应时间45min内，</w:t>
            </w:r>
            <w:r>
              <w:rPr>
                <w:rFonts w:hint="default" w:ascii="Times New Roman" w:hAnsi="Times New Roman" w:cs="Times New Roman" w:eastAsiaTheme="minorEastAsia"/>
                <w:lang w:val="en-US" w:eastAsia="zh-CN"/>
              </w:rPr>
              <w:t>荧光信号出现典型扩增曲线</w:t>
            </w:r>
            <w:r>
              <w:rPr>
                <w:rFonts w:hint="default" w:ascii="Times New Roman" w:hAnsi="Times New Roman" w:cs="Times New Roman" w:eastAsiaTheme="minorEastAsia"/>
                <w:szCs w:val="24"/>
                <w:highlight w:val="none"/>
                <w:lang w:eastAsia="zh-CN"/>
              </w:rPr>
              <w:t>，</w:t>
            </w:r>
            <w:r>
              <w:rPr>
                <w:rFonts w:hint="default" w:ascii="Times New Roman" w:hAnsi="Times New Roman" w:cs="Times New Roman" w:eastAsiaTheme="minorEastAsia"/>
                <w:szCs w:val="24"/>
                <w:highlight w:val="none"/>
                <w:lang w:val="en-US" w:eastAsia="zh-CN"/>
              </w:rPr>
              <w:t>T</w:t>
            </w:r>
            <w:r>
              <w:rPr>
                <w:rFonts w:hint="default" w:ascii="Times New Roman" w:hAnsi="Times New Roman" w:cs="Times New Roman" w:eastAsiaTheme="minorEastAsia"/>
                <w:szCs w:val="24"/>
                <w:highlight w:val="none"/>
              </w:rPr>
              <w:t>t值＜</w:t>
            </w:r>
            <w:r>
              <w:rPr>
                <w:rFonts w:hint="default" w:ascii="Times New Roman" w:hAnsi="Times New Roman" w:cs="Times New Roman" w:eastAsiaTheme="minorEastAsia"/>
                <w:szCs w:val="24"/>
                <w:highlight w:val="none"/>
                <w:lang w:eastAsia="zh-CN"/>
              </w:rPr>
              <w:t>4</w:t>
            </w:r>
            <w:r>
              <w:rPr>
                <w:rFonts w:hint="default" w:ascii="Times New Roman" w:hAnsi="Times New Roman" w:cs="Times New Roman" w:eastAsiaTheme="minorEastAsia"/>
                <w:szCs w:val="24"/>
                <w:highlight w:val="none"/>
                <w:lang w:val="en-US" w:eastAsia="zh-CN"/>
              </w:rPr>
              <w:t>0</w:t>
            </w:r>
            <w:r>
              <w:rPr>
                <w:rFonts w:hint="default" w:ascii="Times New Roman" w:hAnsi="Times New Roman" w:cs="Times New Roman" w:eastAsiaTheme="minorEastAsia"/>
                <w:szCs w:val="24"/>
                <w:highlight w:val="none"/>
              </w:rPr>
              <w:t>。</w:t>
            </w:r>
          </w:p>
          <w:p>
            <w:pPr>
              <w:keepNext w:val="0"/>
              <w:keepLines w:val="0"/>
              <w:pageBreakBefore w:val="0"/>
              <w:numPr>
                <w:ilvl w:val="0"/>
                <w:numId w:val="3"/>
              </w:numPr>
              <w:kinsoku/>
              <w:wordWrap/>
              <w:overflowPunct/>
              <w:topLinePunct w:val="0"/>
              <w:bidi w:val="0"/>
              <w:spacing w:line="440" w:lineRule="exact"/>
              <w:ind w:firstLine="422" w:firstLineChars="200"/>
              <w:rPr>
                <w:rFonts w:hint="default" w:ascii="Times New Roman" w:hAnsi="Times New Roman" w:cs="Times New Roman"/>
                <w:b/>
                <w:bCs/>
                <w:color w:val="000000"/>
                <w:sz w:val="21"/>
                <w:szCs w:val="21"/>
                <w:lang w:val="en-US" w:eastAsia="zh-CN"/>
              </w:rPr>
            </w:pPr>
            <w:r>
              <w:rPr>
                <w:rFonts w:hint="default" w:ascii="Times New Roman" w:hAnsi="Times New Roman" w:cs="Times New Roman"/>
                <w:b/>
                <w:bCs/>
                <w:color w:val="000000"/>
                <w:sz w:val="21"/>
                <w:szCs w:val="21"/>
                <w:lang w:val="en-US" w:eastAsia="zh-CN"/>
              </w:rPr>
              <w:t>结果描述</w:t>
            </w:r>
          </w:p>
          <w:p>
            <w:pPr>
              <w:autoSpaceDE/>
              <w:autoSpaceDN/>
              <w:spacing w:line="360" w:lineRule="auto"/>
              <w:ind w:firstLine="420" w:firstLineChars="200"/>
              <w:jc w:val="left"/>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根据芯片反应的结果，具体报告如下：</w:t>
            </w:r>
          </w:p>
          <w:p>
            <w:pPr>
              <w:autoSpaceDE/>
              <w:autoSpaceDN/>
              <w:spacing w:line="360" w:lineRule="auto"/>
              <w:ind w:firstLine="420" w:firstLineChars="200"/>
              <w:jc w:val="left"/>
              <w:rPr>
                <w:rFonts w:hint="default" w:ascii="Times New Roman" w:hAnsi="Times New Roman" w:eastAsia="宋体" w:cs="Times New Roman"/>
                <w:color w:val="000000"/>
                <w:szCs w:val="24"/>
                <w:highlight w:val="none"/>
              </w:rPr>
            </w:pPr>
            <w:r>
              <w:rPr>
                <w:rFonts w:hint="default" w:ascii="Times New Roman" w:hAnsi="Times New Roman" w:eastAsia="宋体" w:cs="Times New Roman"/>
                <w:color w:val="000000"/>
                <w:szCs w:val="24"/>
                <w:highlight w:val="none"/>
              </w:rPr>
              <w:t>结果为阴性，表述为“未检出××成分”；</w:t>
            </w:r>
          </w:p>
          <w:p>
            <w:pPr>
              <w:autoSpaceDE/>
              <w:autoSpaceDN/>
              <w:spacing w:line="360" w:lineRule="auto"/>
              <w:ind w:firstLine="420" w:firstLineChars="200"/>
              <w:jc w:val="left"/>
              <w:rPr>
                <w:rFonts w:hint="default" w:ascii="Times New Roman" w:hAnsi="Times New Roman" w:eastAsia="宋体" w:cs="Times New Roman"/>
                <w:color w:val="000000"/>
                <w:szCs w:val="24"/>
                <w:highlight w:val="none"/>
              </w:rPr>
            </w:pPr>
            <w:r>
              <w:rPr>
                <w:rFonts w:hint="default" w:ascii="Times New Roman" w:hAnsi="Times New Roman" w:eastAsia="宋体" w:cs="Times New Roman"/>
                <w:color w:val="000000"/>
                <w:szCs w:val="24"/>
                <w:highlight w:val="none"/>
              </w:rPr>
              <w:t>结果为阳性，表述为“检出××成分”。</w:t>
            </w:r>
          </w:p>
          <w:p>
            <w:pPr>
              <w:keepNext w:val="0"/>
              <w:keepLines w:val="0"/>
              <w:pageBreakBefore w:val="0"/>
              <w:numPr>
                <w:ilvl w:val="0"/>
                <w:numId w:val="3"/>
              </w:numPr>
              <w:kinsoku/>
              <w:wordWrap/>
              <w:overflowPunct/>
              <w:topLinePunct w:val="0"/>
              <w:bidi w:val="0"/>
              <w:spacing w:line="440" w:lineRule="exact"/>
              <w:ind w:firstLine="422" w:firstLineChars="200"/>
              <w:rPr>
                <w:rFonts w:hint="default" w:ascii="Times New Roman" w:hAnsi="Times New Roman" w:cs="Times New Roman"/>
                <w:b/>
                <w:bCs/>
                <w:color w:val="000000"/>
                <w:sz w:val="21"/>
                <w:szCs w:val="21"/>
                <w:lang w:val="en-US" w:eastAsia="zh-CN"/>
              </w:rPr>
            </w:pPr>
            <w:r>
              <w:rPr>
                <w:rFonts w:hint="default" w:ascii="Times New Roman" w:hAnsi="Times New Roman" w:cs="Times New Roman"/>
                <w:b/>
                <w:bCs/>
                <w:color w:val="000000"/>
                <w:sz w:val="21"/>
                <w:szCs w:val="21"/>
                <w:lang w:val="en-US" w:eastAsia="zh-CN"/>
              </w:rPr>
              <w:t>防止污染措施</w:t>
            </w:r>
          </w:p>
          <w:p>
            <w:pPr>
              <w:autoSpaceDE/>
              <w:autoSpaceDN/>
              <w:spacing w:line="360" w:lineRule="auto"/>
              <w:ind w:firstLine="420" w:firstLineChars="200"/>
              <w:jc w:val="left"/>
              <w:rPr>
                <w:rFonts w:hint="default" w:ascii="Times New Roman" w:hAnsi="Times New Roman" w:eastAsia="宋体" w:cs="Times New Roman"/>
                <w:color w:val="000000"/>
                <w:szCs w:val="24"/>
                <w:highlight w:val="none"/>
              </w:rPr>
            </w:pPr>
            <w:r>
              <w:rPr>
                <w:rFonts w:hint="default" w:ascii="Times New Roman" w:hAnsi="Times New Roman" w:eastAsia="宋体" w:cs="Times New Roman"/>
                <w:color w:val="000000"/>
                <w:szCs w:val="24"/>
                <w:highlight w:val="none"/>
              </w:rPr>
              <w:t xml:space="preserve">本标准方法为核酸检测，实验室操作和废弃物处理应符合 </w:t>
            </w:r>
            <w:r>
              <w:rPr>
                <w:rFonts w:hint="default" w:ascii="Times New Roman" w:hAnsi="Times New Roman" w:eastAsia="宋体" w:cs="Times New Roman"/>
                <w:szCs w:val="24"/>
                <w:highlight w:val="none"/>
              </w:rPr>
              <w:t xml:space="preserve">GB/T 19495.2 </w:t>
            </w:r>
            <w:r>
              <w:rPr>
                <w:rFonts w:hint="default" w:ascii="Times New Roman" w:hAnsi="Times New Roman" w:eastAsia="宋体" w:cs="Times New Roman"/>
                <w:szCs w:val="24"/>
                <w:highlight w:val="none"/>
                <w:lang w:eastAsia="zh-CN"/>
              </w:rPr>
              <w:t>《</w:t>
            </w:r>
            <w:r>
              <w:rPr>
                <w:rFonts w:hint="default" w:ascii="Times New Roman" w:hAnsi="Times New Roman" w:eastAsia="宋体" w:cs="Times New Roman"/>
                <w:szCs w:val="24"/>
                <w:highlight w:val="none"/>
              </w:rPr>
              <w:t>转基因产品检测 实验室技术要求</w:t>
            </w:r>
            <w:r>
              <w:rPr>
                <w:rFonts w:hint="default" w:ascii="Times New Roman" w:hAnsi="Times New Roman" w:eastAsia="宋体" w:cs="Times New Roman"/>
                <w:szCs w:val="24"/>
                <w:highlight w:val="none"/>
                <w:lang w:eastAsia="zh-CN"/>
              </w:rPr>
              <w:t>》</w:t>
            </w:r>
            <w:r>
              <w:rPr>
                <w:rFonts w:hint="default" w:ascii="Times New Roman" w:hAnsi="Times New Roman" w:eastAsia="宋体" w:cs="Times New Roman"/>
                <w:color w:val="000000"/>
                <w:szCs w:val="24"/>
                <w:highlight w:val="none"/>
              </w:rPr>
              <w:t>，应严格按照GB/T 27403</w:t>
            </w:r>
            <w:r>
              <w:rPr>
                <w:rFonts w:hint="default" w:ascii="Times New Roman" w:hAnsi="Times New Roman" w:eastAsia="宋体" w:cs="Times New Roman"/>
                <w:color w:val="000000"/>
                <w:szCs w:val="24"/>
                <w:highlight w:val="none"/>
                <w:lang w:eastAsia="zh-CN"/>
              </w:rPr>
              <w:t>《</w:t>
            </w:r>
            <w:r>
              <w:rPr>
                <w:rFonts w:hint="default" w:ascii="Times New Roman" w:hAnsi="Times New Roman" w:eastAsia="宋体" w:cs="Times New Roman"/>
                <w:szCs w:val="24"/>
                <w:highlight w:val="none"/>
              </w:rPr>
              <w:t>实验室质量控制规范 食品分子生物学检测</w:t>
            </w:r>
            <w:r>
              <w:rPr>
                <w:rFonts w:hint="default" w:ascii="Times New Roman" w:hAnsi="Times New Roman" w:eastAsia="宋体" w:cs="Times New Roman"/>
                <w:color w:val="000000"/>
                <w:szCs w:val="24"/>
                <w:highlight w:val="none"/>
                <w:lang w:eastAsia="zh-CN"/>
              </w:rPr>
              <w:t>》</w:t>
            </w:r>
            <w:r>
              <w:rPr>
                <w:rFonts w:hint="default" w:ascii="Times New Roman" w:hAnsi="Times New Roman" w:eastAsia="宋体" w:cs="Times New Roman"/>
                <w:color w:val="000000"/>
                <w:szCs w:val="24"/>
                <w:highlight w:val="none"/>
              </w:rPr>
              <w:t>的规定</w:t>
            </w:r>
            <w:r>
              <w:rPr>
                <w:rFonts w:hint="default" w:ascii="Times New Roman" w:hAnsi="Times New Roman" w:eastAsia="宋体" w:cs="Times New Roman"/>
                <w:color w:val="000000"/>
                <w:szCs w:val="24"/>
                <w:highlight w:val="none"/>
                <w:lang w:val="en-US" w:eastAsia="zh-CN"/>
              </w:rPr>
              <w:t>操作，</w:t>
            </w:r>
            <w:r>
              <w:rPr>
                <w:rFonts w:hint="default" w:ascii="Times New Roman" w:hAnsi="Times New Roman" w:eastAsia="宋体" w:cs="Times New Roman"/>
                <w:color w:val="000000"/>
                <w:szCs w:val="24"/>
                <w:highlight w:val="none"/>
              </w:rPr>
              <w:t>防止检验过程污染，造成假阳性情况。</w:t>
            </w:r>
          </w:p>
          <w:p>
            <w:pPr>
              <w:keepNext w:val="0"/>
              <w:keepLines w:val="0"/>
              <w:pageBreakBefore w:val="0"/>
              <w:numPr>
                <w:ilvl w:val="0"/>
                <w:numId w:val="3"/>
              </w:numPr>
              <w:kinsoku/>
              <w:wordWrap/>
              <w:overflowPunct/>
              <w:topLinePunct w:val="0"/>
              <w:bidi w:val="0"/>
              <w:spacing w:line="440" w:lineRule="exact"/>
              <w:ind w:firstLine="422" w:firstLineChars="200"/>
              <w:rPr>
                <w:rFonts w:hint="default" w:ascii="Times New Roman" w:hAnsi="Times New Roman" w:cs="Times New Roman"/>
                <w:b/>
                <w:bCs/>
                <w:color w:val="000000"/>
                <w:sz w:val="21"/>
                <w:szCs w:val="21"/>
                <w:lang w:val="en-US" w:eastAsia="zh-CN"/>
              </w:rPr>
            </w:pPr>
            <w:r>
              <w:rPr>
                <w:rFonts w:hint="default" w:ascii="Times New Roman" w:hAnsi="Times New Roman" w:cs="Times New Roman"/>
                <w:b/>
                <w:bCs/>
                <w:color w:val="000000"/>
                <w:sz w:val="21"/>
                <w:szCs w:val="21"/>
                <w:lang w:val="en-US" w:eastAsia="zh-CN"/>
              </w:rPr>
              <w:t>附录</w:t>
            </w:r>
          </w:p>
          <w:p>
            <w:pPr>
              <w:spacing w:line="360" w:lineRule="auto"/>
              <w:ind w:firstLine="420" w:firstLineChars="200"/>
              <w:jc w:val="left"/>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为了让标准使用者熟悉芯片技术原理和结构，更好的开展关键材料的验收，保证检验结果准确性，增加数字微流控芯片</w:t>
            </w:r>
            <w:r>
              <w:rPr>
                <w:rFonts w:hint="default" w:ascii="Times New Roman" w:hAnsi="Times New Roman" w:cs="Times New Roman"/>
                <w:szCs w:val="24"/>
                <w:highlight w:val="none"/>
                <w:lang w:val="en-US" w:eastAsia="zh-CN"/>
              </w:rPr>
              <w:t>检测试剂体系及引物配制、微流控芯片结果及排布示意图和产品的制作与质量控制，</w:t>
            </w:r>
            <w:r>
              <w:rPr>
                <w:rFonts w:hint="default" w:ascii="Times New Roman" w:hAnsi="Times New Roman" w:eastAsia="宋体" w:cs="Times New Roman"/>
                <w:szCs w:val="24"/>
                <w:highlight w:val="none"/>
              </w:rPr>
              <w:t>具体如下：</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both"/>
              <w:textAlignment w:val="auto"/>
              <w:rPr>
                <w:rFonts w:hint="default" w:ascii="Times New Roman" w:hAnsi="Times New Roman" w:cs="Times New Roman"/>
                <w:b/>
                <w:bCs/>
                <w:color w:val="000000"/>
                <w:sz w:val="21"/>
                <w:szCs w:val="21"/>
                <w:lang w:val="en-US" w:eastAsia="zh-CN"/>
              </w:rPr>
            </w:pPr>
            <w:r>
              <w:rPr>
                <w:rFonts w:hint="default" w:ascii="Times New Roman" w:hAnsi="Times New Roman" w:cs="Times New Roman"/>
                <w:b/>
                <w:bCs/>
                <w:color w:val="000000"/>
                <w:sz w:val="21"/>
                <w:szCs w:val="21"/>
                <w:lang w:val="en-US" w:eastAsia="zh-CN"/>
              </w:rPr>
              <w:t>10.1数字微流控芯片检测试剂体系及引物配制（见4.2内容）</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both"/>
              <w:textAlignment w:val="auto"/>
              <w:rPr>
                <w:rFonts w:hint="default" w:ascii="Times New Roman" w:hAnsi="Times New Roman" w:cs="Times New Roman"/>
                <w:b/>
                <w:bCs/>
                <w:color w:val="000000"/>
                <w:sz w:val="21"/>
                <w:szCs w:val="21"/>
                <w:lang w:val="en-US" w:eastAsia="zh-CN"/>
              </w:rPr>
            </w:pPr>
            <w:r>
              <w:rPr>
                <w:rFonts w:hint="default" w:ascii="Times New Roman" w:hAnsi="Times New Roman" w:cs="Times New Roman"/>
                <w:b/>
                <w:bCs/>
                <w:color w:val="000000"/>
                <w:sz w:val="21"/>
                <w:szCs w:val="21"/>
                <w:lang w:val="en-US" w:eastAsia="zh-CN"/>
              </w:rPr>
              <w:t>10.2 微流控芯片结构及排布示意图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本标准采用芯片设计为12个反应孔位，可以开展12个不同的试验，</w:t>
            </w:r>
            <w:r>
              <w:rPr>
                <w:rFonts w:hint="default" w:ascii="Times New Roman" w:hAnsi="Times New Roman" w:eastAsia="宋体" w:cs="Times New Roman"/>
                <w:szCs w:val="24"/>
                <w:highlight w:val="none"/>
                <w:lang w:val="en-US" w:eastAsia="zh-CN"/>
              </w:rPr>
              <w:t>本标准</w:t>
            </w:r>
            <w:r>
              <w:rPr>
                <w:rFonts w:hint="default" w:ascii="Times New Roman" w:hAnsi="Times New Roman" w:eastAsia="宋体" w:cs="Times New Roman"/>
                <w:szCs w:val="24"/>
                <w:highlight w:val="none"/>
              </w:rPr>
              <w:t>6种成分</w:t>
            </w:r>
            <w:r>
              <w:rPr>
                <w:rFonts w:hint="default" w:ascii="Times New Roman" w:hAnsi="Times New Roman" w:eastAsia="宋体" w:cs="Times New Roman"/>
                <w:szCs w:val="24"/>
                <w:highlight w:val="none"/>
                <w:lang w:val="en-US" w:eastAsia="zh-CN"/>
              </w:rPr>
              <w:t>靶标</w:t>
            </w:r>
            <w:r>
              <w:rPr>
                <w:rFonts w:hint="default" w:ascii="Times New Roman" w:hAnsi="Times New Roman" w:eastAsia="宋体" w:cs="Times New Roman"/>
                <w:szCs w:val="24"/>
                <w:highlight w:val="none"/>
              </w:rPr>
              <w:t>，分别包埋在检测芯片4-9孔位，从左至右依次为：大豆、核桃、榛子、花生、杏仁、椰子，具体详见图3。</w:t>
            </w:r>
          </w:p>
          <w:p>
            <w:pPr>
              <w:autoSpaceDE/>
              <w:autoSpaceDN/>
              <w:spacing w:line="360" w:lineRule="auto"/>
              <w:ind w:firstLine="420" w:firstLineChars="200"/>
              <w:jc w:val="center"/>
              <w:rPr>
                <w:rFonts w:hint="default" w:ascii="Times New Roman" w:hAnsi="Times New Roman" w:eastAsia="黑体" w:cs="Times New Roman"/>
                <w:sz w:val="21"/>
                <w:szCs w:val="21"/>
                <w:highlight w:val="none"/>
                <w:lang w:val="en-US" w:eastAsia="zh-CN"/>
              </w:rPr>
            </w:pPr>
            <w:r>
              <w:rPr>
                <w:rFonts w:hint="default" w:ascii="Times New Roman" w:hAnsi="Times New Roman" w:eastAsia="黑体" w:cs="Times New Roman"/>
                <w:sz w:val="21"/>
                <w:szCs w:val="21"/>
                <w:highlight w:val="none"/>
              </w:rPr>
              <w:drawing>
                <wp:anchor distT="0" distB="0" distL="114300" distR="114300" simplePos="0" relativeHeight="251660288" behindDoc="0" locked="0" layoutInCell="1" allowOverlap="1">
                  <wp:simplePos x="0" y="0"/>
                  <wp:positionH relativeFrom="column">
                    <wp:posOffset>150495</wp:posOffset>
                  </wp:positionH>
                  <wp:positionV relativeFrom="paragraph">
                    <wp:posOffset>151130</wp:posOffset>
                  </wp:positionV>
                  <wp:extent cx="5272405" cy="3253105"/>
                  <wp:effectExtent l="0" t="0" r="4445" b="4445"/>
                  <wp:wrapSquare wrapText="bothSides"/>
                  <wp:docPr id="1" name="图片 1" descr="芯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芯片2"/>
                          <pic:cNvPicPr>
                            <a:picLocks noChangeAspect="1"/>
                          </pic:cNvPicPr>
                        </pic:nvPicPr>
                        <pic:blipFill>
                          <a:blip r:embed="rId7"/>
                          <a:stretch>
                            <a:fillRect/>
                          </a:stretch>
                        </pic:blipFill>
                        <pic:spPr>
                          <a:xfrm>
                            <a:off x="0" y="0"/>
                            <a:ext cx="5272405" cy="3253105"/>
                          </a:xfrm>
                          <a:prstGeom prst="rect">
                            <a:avLst/>
                          </a:prstGeom>
                        </pic:spPr>
                      </pic:pic>
                    </a:graphicData>
                  </a:graphic>
                </wp:anchor>
              </w:drawing>
            </w:r>
            <w:r>
              <w:rPr>
                <w:rFonts w:hint="default" w:ascii="Times New Roman" w:hAnsi="Times New Roman" w:eastAsia="黑体" w:cs="Times New Roman"/>
                <w:sz w:val="21"/>
                <w:szCs w:val="21"/>
                <w:highlight w:val="none"/>
              </w:rPr>
              <w:t>图3微流控芯片结构及排布示意图</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both"/>
              <w:textAlignment w:val="auto"/>
              <w:rPr>
                <w:rFonts w:hint="default" w:ascii="Times New Roman" w:hAnsi="Times New Roman" w:cs="Times New Roman"/>
                <w:b/>
                <w:bCs/>
                <w:color w:val="000000"/>
                <w:sz w:val="21"/>
                <w:szCs w:val="21"/>
                <w:lang w:val="en-US" w:eastAsia="zh-CN"/>
              </w:rPr>
            </w:pPr>
            <w:r>
              <w:rPr>
                <w:rFonts w:hint="default" w:ascii="Times New Roman" w:hAnsi="Times New Roman" w:cs="Times New Roman"/>
                <w:b/>
                <w:bCs/>
                <w:color w:val="000000"/>
                <w:sz w:val="21"/>
                <w:szCs w:val="21"/>
                <w:lang w:val="en-US" w:eastAsia="zh-CN"/>
              </w:rPr>
              <w:t>10.3 数字微流控芯片的制作</w:t>
            </w:r>
          </w:p>
          <w:p>
            <w:pPr>
              <w:autoSpaceDE/>
              <w:autoSpaceDN/>
              <w:spacing w:line="360" w:lineRule="auto"/>
              <w:ind w:firstLine="420" w:firstLineChars="200"/>
              <w:jc w:val="left"/>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采用微量点样仪，将各个引物均匀点布在数字微流控芯片的特定位置，每个反应孔添加引物工作液1μL，将加好引物工作液的芯片置于37℃恒温干燥箱干燥15min，确保干燥后封装芯片。</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both"/>
              <w:textAlignment w:val="auto"/>
              <w:rPr>
                <w:rFonts w:hint="default" w:ascii="Times New Roman" w:hAnsi="Times New Roman" w:cs="Times New Roman"/>
                <w:b/>
                <w:bCs/>
                <w:color w:val="000000"/>
                <w:sz w:val="21"/>
                <w:szCs w:val="21"/>
                <w:lang w:val="en-US" w:eastAsia="zh-CN"/>
              </w:rPr>
            </w:pPr>
            <w:r>
              <w:rPr>
                <w:rFonts w:hint="default" w:ascii="Times New Roman" w:hAnsi="Times New Roman" w:cs="Times New Roman"/>
                <w:b/>
                <w:bCs/>
                <w:color w:val="000000"/>
                <w:sz w:val="21"/>
                <w:szCs w:val="21"/>
                <w:lang w:val="en-US" w:eastAsia="zh-CN"/>
              </w:rPr>
              <w:t>10.4 数字微流控芯片质量控制</w:t>
            </w:r>
          </w:p>
          <w:p>
            <w:pPr>
              <w:autoSpaceDE/>
              <w:autoSpaceDN/>
              <w:spacing w:line="360" w:lineRule="auto"/>
              <w:ind w:firstLine="420" w:firstLineChars="200"/>
              <w:jc w:val="left"/>
              <w:rPr>
                <w:rFonts w:hint="default" w:ascii="Times New Roman" w:hAnsi="Times New Roman" w:eastAsia="宋体" w:cs="Times New Roman"/>
                <w:color w:val="000000"/>
                <w:szCs w:val="24"/>
                <w:highlight w:val="none"/>
              </w:rPr>
            </w:pPr>
            <w:r>
              <w:rPr>
                <w:rFonts w:hint="default" w:ascii="Times New Roman" w:hAnsi="Times New Roman" w:eastAsia="宋体" w:cs="Times New Roman"/>
                <w:color w:val="000000"/>
                <w:szCs w:val="24"/>
                <w:highlight w:val="none"/>
              </w:rPr>
              <w:t>数字微流控芯片金手指正常，无胶水粘附、条纹清晰、无变形及缺口；芯片内移液通道清晰，芯片玻璃表面无缺口和裂纹；数字微流控相片点样后无漏点，检测方法为封装后植物源性成分</w:t>
            </w:r>
            <w:r>
              <w:rPr>
                <w:rFonts w:hint="default" w:ascii="Times New Roman" w:hAnsi="Times New Roman" w:eastAsia="宋体" w:cs="Times New Roman"/>
                <w:color w:val="000000"/>
                <w:szCs w:val="24"/>
                <w:highlight w:val="none"/>
                <w:lang w:eastAsia="zh-CN"/>
              </w:rPr>
              <w:t>6</w:t>
            </w:r>
            <w:r>
              <w:rPr>
                <w:rFonts w:hint="default" w:ascii="Times New Roman" w:hAnsi="Times New Roman" w:eastAsia="宋体" w:cs="Times New Roman"/>
                <w:color w:val="000000"/>
                <w:szCs w:val="24"/>
                <w:highlight w:val="none"/>
              </w:rPr>
              <w:t>项阳性质控样品和阴性质控样品恒温扩增，植物源性成分</w:t>
            </w:r>
            <w:r>
              <w:rPr>
                <w:rFonts w:hint="default" w:ascii="Times New Roman" w:hAnsi="Times New Roman" w:eastAsia="宋体" w:cs="Times New Roman"/>
                <w:color w:val="000000"/>
                <w:szCs w:val="24"/>
                <w:highlight w:val="none"/>
                <w:lang w:eastAsia="zh-CN"/>
              </w:rPr>
              <w:t>6</w:t>
            </w:r>
            <w:r>
              <w:rPr>
                <w:rFonts w:hint="default" w:ascii="Times New Roman" w:hAnsi="Times New Roman" w:eastAsia="宋体" w:cs="Times New Roman"/>
                <w:color w:val="000000"/>
                <w:szCs w:val="24"/>
                <w:highlight w:val="none"/>
              </w:rPr>
              <w:t>项阳性质控样品</w:t>
            </w:r>
            <w:r>
              <w:rPr>
                <w:rFonts w:hint="default" w:ascii="Times New Roman" w:hAnsi="Times New Roman" w:cs="Times New Roman"/>
                <w:color w:val="000000"/>
                <w:kern w:val="0"/>
                <w:szCs w:val="21"/>
                <w:highlight w:val="none"/>
                <w:lang w:val="en-US" w:eastAsia="zh-CN"/>
              </w:rPr>
              <w:t>荧光信号出现典型扩增曲线</w:t>
            </w:r>
            <w:r>
              <w:rPr>
                <w:rFonts w:hint="default" w:ascii="Times New Roman" w:hAnsi="Times New Roman" w:eastAsia="宋体" w:cs="Times New Roman"/>
                <w:color w:val="000000"/>
                <w:szCs w:val="24"/>
                <w:highlight w:val="none"/>
              </w:rPr>
              <w:t>，对应的</w:t>
            </w:r>
            <w:r>
              <w:rPr>
                <w:rFonts w:hint="default" w:ascii="Times New Roman" w:hAnsi="Times New Roman" w:eastAsia="宋体" w:cs="Times New Roman"/>
                <w:color w:val="000000"/>
                <w:szCs w:val="24"/>
                <w:highlight w:val="none"/>
                <w:lang w:eastAsia="zh-CN"/>
              </w:rPr>
              <w:t>6</w:t>
            </w:r>
            <w:r>
              <w:rPr>
                <w:rFonts w:hint="default" w:ascii="Times New Roman" w:hAnsi="Times New Roman" w:eastAsia="宋体" w:cs="Times New Roman"/>
                <w:color w:val="000000"/>
                <w:szCs w:val="24"/>
                <w:highlight w:val="none"/>
              </w:rPr>
              <w:t>个孔位均为阳性；阴性质控样品</w:t>
            </w:r>
            <w:r>
              <w:rPr>
                <w:rFonts w:hint="default" w:ascii="Times New Roman" w:hAnsi="Times New Roman" w:cs="Times New Roman"/>
                <w:color w:val="000000"/>
                <w:kern w:val="0"/>
                <w:szCs w:val="21"/>
                <w:highlight w:val="none"/>
                <w:lang w:val="en-US" w:eastAsia="zh-CN"/>
              </w:rPr>
              <w:t>荧光信号未出现典型扩增曲线</w:t>
            </w:r>
            <w:r>
              <w:rPr>
                <w:rFonts w:hint="default" w:ascii="Times New Roman" w:hAnsi="Times New Roman" w:eastAsia="宋体" w:cs="Times New Roman"/>
                <w:color w:val="000000"/>
                <w:szCs w:val="24"/>
                <w:highlight w:val="none"/>
              </w:rPr>
              <w:t>，对应的</w:t>
            </w:r>
            <w:r>
              <w:rPr>
                <w:rFonts w:hint="default" w:ascii="Times New Roman" w:hAnsi="Times New Roman" w:eastAsia="宋体" w:cs="Times New Roman"/>
                <w:color w:val="000000"/>
                <w:szCs w:val="24"/>
                <w:highlight w:val="none"/>
                <w:lang w:eastAsia="zh-CN"/>
              </w:rPr>
              <w:t>6</w:t>
            </w:r>
            <w:r>
              <w:rPr>
                <w:rFonts w:hint="default" w:ascii="Times New Roman" w:hAnsi="Times New Roman" w:eastAsia="宋体" w:cs="Times New Roman"/>
                <w:color w:val="000000"/>
                <w:szCs w:val="24"/>
                <w:highlight w:val="none"/>
              </w:rPr>
              <w:t>个孔位均为阴性。</w:t>
            </w:r>
          </w:p>
          <w:p>
            <w:pPr>
              <w:keepNext w:val="0"/>
              <w:keepLines w:val="0"/>
              <w:pageBreakBefore w:val="0"/>
              <w:numPr>
                <w:ilvl w:val="0"/>
                <w:numId w:val="1"/>
              </w:numPr>
              <w:kinsoku/>
              <w:wordWrap/>
              <w:overflowPunct/>
              <w:topLinePunct w:val="0"/>
              <w:bidi w:val="0"/>
              <w:spacing w:line="440" w:lineRule="exact"/>
              <w:rPr>
                <w:rFonts w:hint="default" w:ascii="Times New Roman" w:hAnsi="Times New Roman" w:eastAsia="黑体" w:cs="Times New Roman"/>
                <w:b/>
                <w:bCs/>
                <w:color w:val="000000"/>
                <w:sz w:val="21"/>
                <w:szCs w:val="21"/>
                <w:lang w:val="en-US" w:eastAsia="zh-CN"/>
              </w:rPr>
            </w:pPr>
            <w:r>
              <w:rPr>
                <w:rFonts w:hint="default" w:ascii="Times New Roman" w:hAnsi="Times New Roman" w:eastAsia="黑体" w:cs="Times New Roman"/>
                <w:b/>
                <w:bCs/>
                <w:color w:val="000000"/>
                <w:sz w:val="21"/>
                <w:szCs w:val="21"/>
                <w:lang w:val="en-US" w:eastAsia="zh-CN"/>
              </w:rPr>
              <w:t>主要试验（或验证）情况</w:t>
            </w:r>
          </w:p>
          <w:p>
            <w:pPr>
              <w:autoSpaceDE/>
              <w:autoSpaceDN/>
              <w:spacing w:line="360" w:lineRule="auto"/>
              <w:ind w:firstLine="420" w:firstLineChars="200"/>
              <w:jc w:val="left"/>
              <w:rPr>
                <w:rFonts w:hint="default" w:ascii="Times New Roman" w:hAnsi="Times New Roman" w:cs="Times New Roman"/>
                <w:highlight w:val="none"/>
              </w:rPr>
            </w:pPr>
            <w:r>
              <w:rPr>
                <w:rFonts w:hint="default" w:ascii="Times New Roman" w:hAnsi="Times New Roman" w:eastAsia="宋体" w:cs="Times New Roman"/>
                <w:color w:val="000000"/>
                <w:szCs w:val="24"/>
                <w:highlight w:val="none"/>
              </w:rPr>
              <w:t>标准起草组对方法开展特异性、灵敏度、稳定性及实际样品的验证，采用25种常见物种（大豆、核桃、榛子、花生、杏仁、椰子、芝麻、绿豆、小米、燕麦、白眉豆、碧根果、巴旦木、夏威夷果、西瓜籽、板栗、赤小豆、薏米、无花果、红枣、玉米、松子、葵花籽、开心果、荞麦）进行特异性检测，大豆源性成分检测孔仅对大豆样品检出，核桃源性成分检测孔仅对核桃样品检出，杏仁源性成分检测孔仅对杏仁样品检出，椰子源性成分检测孔仅对椰子样品检出；对不同质量浓度的饮料进行灵敏度检测，多重微流控检测芯片中大豆、榛子、花生、杏仁、椰子饮料检测灵敏度为0.1%，核桃饮料检测灵敏度为0.05%；对</w:t>
            </w:r>
            <w:r>
              <w:rPr>
                <w:rFonts w:hint="default" w:ascii="Times New Roman" w:hAnsi="Times New Roman" w:eastAsia="宋体" w:cs="Times New Roman"/>
                <w:color w:val="000000"/>
                <w:szCs w:val="24"/>
                <w:highlight w:val="none"/>
                <w:lang w:eastAsia="zh-CN"/>
              </w:rPr>
              <w:t>3</w:t>
            </w:r>
            <w:r>
              <w:rPr>
                <w:rFonts w:hint="default" w:ascii="Times New Roman" w:hAnsi="Times New Roman" w:eastAsia="宋体" w:cs="Times New Roman"/>
                <w:color w:val="000000"/>
                <w:szCs w:val="24"/>
                <w:highlight w:val="none"/>
                <w:lang w:val="en-US" w:eastAsia="zh-CN"/>
              </w:rPr>
              <w:t>6份</w:t>
            </w:r>
            <w:r>
              <w:rPr>
                <w:rFonts w:hint="default" w:ascii="Times New Roman" w:hAnsi="Times New Roman" w:eastAsia="宋体" w:cs="Times New Roman"/>
                <w:color w:val="000000"/>
                <w:szCs w:val="24"/>
                <w:highlight w:val="none"/>
              </w:rPr>
              <w:t>植物蛋白饮料样品进行检测，同时以BJS2017《植物蛋白饮料中植物源性成分鉴定》进行平行检测，椰子源性成分则采用LAMP检测方法，验证6种植物源性成分检测芯片的实际样品检测结果与参考方法的符合性，与参考方法比较，植物蛋白饮料检测结果符合率</w:t>
            </w:r>
            <w:r>
              <w:rPr>
                <w:rFonts w:hint="default" w:ascii="Times New Roman" w:hAnsi="Times New Roman" w:eastAsia="宋体" w:cs="Times New Roman"/>
                <w:color w:val="000000"/>
                <w:szCs w:val="24"/>
                <w:highlight w:val="none"/>
                <w:lang w:eastAsia="zh-CN"/>
              </w:rPr>
              <w:t>1</w:t>
            </w:r>
            <w:r>
              <w:rPr>
                <w:rFonts w:hint="default" w:ascii="Times New Roman" w:hAnsi="Times New Roman" w:eastAsia="宋体" w:cs="Times New Roman"/>
                <w:color w:val="000000"/>
                <w:szCs w:val="24"/>
                <w:highlight w:val="none"/>
                <w:lang w:val="en-US" w:eastAsia="zh-CN"/>
              </w:rPr>
              <w:t>00</w:t>
            </w:r>
            <w:r>
              <w:rPr>
                <w:rFonts w:hint="default" w:ascii="Times New Roman" w:hAnsi="Times New Roman" w:eastAsia="宋体" w:cs="Times New Roman"/>
                <w:color w:val="000000"/>
                <w:szCs w:val="24"/>
                <w:highlight w:val="none"/>
              </w:rPr>
              <w:t>%（见图</w:t>
            </w:r>
            <w:r>
              <w:rPr>
                <w:rFonts w:hint="default" w:ascii="Times New Roman" w:hAnsi="Times New Roman" w:cs="Times New Roman"/>
                <w:color w:val="000000"/>
                <w:szCs w:val="24"/>
                <w:highlight w:val="none"/>
                <w:lang w:val="en-US" w:eastAsia="zh-CN"/>
              </w:rPr>
              <w:t>4</w:t>
            </w:r>
            <w:r>
              <w:rPr>
                <w:rFonts w:hint="default" w:ascii="Times New Roman" w:hAnsi="Times New Roman" w:eastAsia="宋体" w:cs="Times New Roman"/>
                <w:color w:val="000000"/>
                <w:szCs w:val="24"/>
                <w:highlight w:val="none"/>
              </w:rPr>
              <w:t>，表5-8）。</w:t>
            </w:r>
            <w:r>
              <w:rPr>
                <w:rFonts w:hint="default" w:ascii="Times New Roman" w:hAnsi="Times New Roman" w:cs="Times New Roman"/>
                <w:highlight w:val="none"/>
              </w:rPr>
              <w:drawing>
                <wp:inline distT="0" distB="0" distL="114300" distR="114300">
                  <wp:extent cx="5452745" cy="4291330"/>
                  <wp:effectExtent l="0" t="0" r="0" b="0"/>
                  <wp:docPr id="1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3"/>
                          <pic:cNvPicPr>
                            <a:picLocks noChangeAspect="1"/>
                          </pic:cNvPicPr>
                        </pic:nvPicPr>
                        <pic:blipFill>
                          <a:blip r:embed="rId8"/>
                          <a:stretch>
                            <a:fillRect/>
                          </a:stretch>
                        </pic:blipFill>
                        <pic:spPr>
                          <a:xfrm>
                            <a:off x="0" y="0"/>
                            <a:ext cx="5452745" cy="4291330"/>
                          </a:xfrm>
                          <a:prstGeom prst="rect">
                            <a:avLst/>
                          </a:prstGeom>
                          <a:noFill/>
                          <a:ln>
                            <a:noFill/>
                          </a:ln>
                        </pic:spPr>
                      </pic:pic>
                    </a:graphicData>
                  </a:graphic>
                </wp:inline>
              </w:drawing>
            </w:r>
          </w:p>
          <w:p>
            <w:pPr>
              <w:autoSpaceDE/>
              <w:autoSpaceDN/>
              <w:spacing w:line="360" w:lineRule="auto"/>
              <w:ind w:firstLine="420" w:firstLineChars="200"/>
              <w:jc w:val="center"/>
              <w:rPr>
                <w:rFonts w:hint="default" w:ascii="Times New Roman" w:hAnsi="Times New Roman" w:eastAsia="黑体" w:cs="Times New Roman"/>
                <w:sz w:val="21"/>
                <w:szCs w:val="21"/>
                <w:highlight w:val="none"/>
              </w:rPr>
            </w:pPr>
            <w:r>
              <w:rPr>
                <w:rFonts w:hint="default" w:ascii="Times New Roman" w:hAnsi="Times New Roman" w:eastAsia="黑体" w:cs="Times New Roman"/>
                <w:sz w:val="21"/>
                <w:szCs w:val="21"/>
                <w:highlight w:val="none"/>
              </w:rPr>
              <w:t>图</w:t>
            </w:r>
            <w:r>
              <w:rPr>
                <w:rFonts w:hint="default" w:ascii="Times New Roman" w:hAnsi="Times New Roman" w:eastAsia="黑体" w:cs="Times New Roman"/>
                <w:sz w:val="21"/>
                <w:szCs w:val="21"/>
                <w:highlight w:val="none"/>
                <w:lang w:val="en-US" w:eastAsia="zh-CN"/>
              </w:rPr>
              <w:t>4</w:t>
            </w:r>
            <w:r>
              <w:rPr>
                <w:rFonts w:hint="default" w:ascii="Times New Roman" w:hAnsi="Times New Roman" w:eastAsia="黑体" w:cs="Times New Roman"/>
                <w:sz w:val="21"/>
                <w:szCs w:val="21"/>
                <w:highlight w:val="none"/>
              </w:rPr>
              <w:t xml:space="preserve"> 微流控芯片特异性验证图谱</w:t>
            </w:r>
          </w:p>
          <w:p>
            <w:pPr>
              <w:autoSpaceDE/>
              <w:autoSpaceDN/>
              <w:spacing w:line="360" w:lineRule="auto"/>
              <w:ind w:firstLine="420" w:firstLineChars="200"/>
              <w:jc w:val="center"/>
              <w:rPr>
                <w:rFonts w:hint="default" w:ascii="Times New Roman" w:hAnsi="Times New Roman" w:eastAsia="黑体" w:cs="Times New Roman"/>
                <w:sz w:val="21"/>
                <w:szCs w:val="21"/>
                <w:highlight w:val="none"/>
              </w:rPr>
            </w:pPr>
            <w:r>
              <w:rPr>
                <w:rFonts w:hint="default" w:ascii="Times New Roman" w:hAnsi="Times New Roman" w:eastAsia="黑体" w:cs="Times New Roman"/>
                <w:sz w:val="21"/>
                <w:szCs w:val="21"/>
                <w:highlight w:val="none"/>
              </w:rPr>
              <w:t>表5 微流控芯片特异性检测结果</w:t>
            </w:r>
          </w:p>
          <w:tbl>
            <w:tblPr>
              <w:tblStyle w:val="7"/>
              <w:tblpPr w:leftFromText="180" w:rightFromText="180" w:vertAnchor="text" w:horzAnchor="page" w:tblpX="177" w:tblpY="444"/>
              <w:tblOverlap w:val="never"/>
              <w:tblW w:w="86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1432"/>
              <w:gridCol w:w="1202"/>
              <w:gridCol w:w="1202"/>
              <w:gridCol w:w="1202"/>
              <w:gridCol w:w="1202"/>
              <w:gridCol w:w="1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1170" w:type="dxa"/>
                  <w:vAlign w:val="center"/>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样品</w:t>
                  </w:r>
                </w:p>
              </w:tc>
              <w:tc>
                <w:tcPr>
                  <w:tcW w:w="1432" w:type="dxa"/>
                  <w:vAlign w:val="center"/>
                </w:tcPr>
                <w:p>
                  <w:pPr>
                    <w:autoSpaceDE/>
                    <w:autoSpaceDN/>
                    <w:adjustRightInd/>
                    <w:spacing w:line="24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大豆源性成分检测孔</w:t>
                  </w:r>
                </w:p>
              </w:tc>
              <w:tc>
                <w:tcPr>
                  <w:tcW w:w="1202" w:type="dxa"/>
                  <w:vAlign w:val="center"/>
                </w:tcPr>
                <w:p>
                  <w:pPr>
                    <w:autoSpaceDE/>
                    <w:autoSpaceDN/>
                    <w:adjustRightInd/>
                    <w:spacing w:line="24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核桃源性成分检测孔</w:t>
                  </w:r>
                </w:p>
              </w:tc>
              <w:tc>
                <w:tcPr>
                  <w:tcW w:w="1202" w:type="dxa"/>
                  <w:vAlign w:val="center"/>
                </w:tcPr>
                <w:p>
                  <w:pPr>
                    <w:autoSpaceDE/>
                    <w:autoSpaceDN/>
                    <w:adjustRightInd/>
                    <w:spacing w:line="24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榛子源性成分检测孔</w:t>
                  </w:r>
                </w:p>
              </w:tc>
              <w:tc>
                <w:tcPr>
                  <w:tcW w:w="1202" w:type="dxa"/>
                  <w:vAlign w:val="center"/>
                </w:tcPr>
                <w:p>
                  <w:pPr>
                    <w:autoSpaceDE/>
                    <w:autoSpaceDN/>
                    <w:adjustRightInd/>
                    <w:spacing w:line="24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花生源性成分检测孔</w:t>
                  </w:r>
                </w:p>
              </w:tc>
              <w:tc>
                <w:tcPr>
                  <w:tcW w:w="1202" w:type="dxa"/>
                  <w:vAlign w:val="center"/>
                </w:tcPr>
                <w:p>
                  <w:pPr>
                    <w:autoSpaceDE/>
                    <w:autoSpaceDN/>
                    <w:adjustRightInd/>
                    <w:spacing w:line="24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杏仁源性成分检测孔</w:t>
                  </w:r>
                </w:p>
              </w:tc>
              <w:tc>
                <w:tcPr>
                  <w:tcW w:w="1206" w:type="dxa"/>
                  <w:vAlign w:val="center"/>
                </w:tcPr>
                <w:p>
                  <w:pPr>
                    <w:autoSpaceDE/>
                    <w:autoSpaceDN/>
                    <w:adjustRightInd/>
                    <w:spacing w:line="24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椰子源性成分检测孔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170"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大豆</w:t>
                  </w:r>
                </w:p>
              </w:tc>
              <w:tc>
                <w:tcPr>
                  <w:tcW w:w="14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6"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170"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核桃</w:t>
                  </w:r>
                </w:p>
              </w:tc>
              <w:tc>
                <w:tcPr>
                  <w:tcW w:w="14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6"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170"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榛子</w:t>
                  </w:r>
                </w:p>
              </w:tc>
              <w:tc>
                <w:tcPr>
                  <w:tcW w:w="14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6"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170"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花生</w:t>
                  </w:r>
                </w:p>
              </w:tc>
              <w:tc>
                <w:tcPr>
                  <w:tcW w:w="14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6"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170"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杏仁</w:t>
                  </w:r>
                </w:p>
              </w:tc>
              <w:tc>
                <w:tcPr>
                  <w:tcW w:w="14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6"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170"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椰子</w:t>
                  </w:r>
                </w:p>
              </w:tc>
              <w:tc>
                <w:tcPr>
                  <w:tcW w:w="14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6"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170"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芝麻</w:t>
                  </w:r>
                </w:p>
              </w:tc>
              <w:tc>
                <w:tcPr>
                  <w:tcW w:w="14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6"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170"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绿豆</w:t>
                  </w:r>
                </w:p>
              </w:tc>
              <w:tc>
                <w:tcPr>
                  <w:tcW w:w="14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6"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170"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小米</w:t>
                  </w:r>
                </w:p>
              </w:tc>
              <w:tc>
                <w:tcPr>
                  <w:tcW w:w="14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6"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170"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燕麦</w:t>
                  </w:r>
                </w:p>
              </w:tc>
              <w:tc>
                <w:tcPr>
                  <w:tcW w:w="14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6"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170"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白眉豆</w:t>
                  </w:r>
                </w:p>
              </w:tc>
              <w:tc>
                <w:tcPr>
                  <w:tcW w:w="14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6"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170"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碧根果</w:t>
                  </w:r>
                </w:p>
              </w:tc>
              <w:tc>
                <w:tcPr>
                  <w:tcW w:w="14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6"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170"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巴旦木</w:t>
                  </w:r>
                </w:p>
              </w:tc>
              <w:tc>
                <w:tcPr>
                  <w:tcW w:w="14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6"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170"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夏威夷果</w:t>
                  </w:r>
                </w:p>
              </w:tc>
              <w:tc>
                <w:tcPr>
                  <w:tcW w:w="14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6"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170"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西瓜籽</w:t>
                  </w:r>
                </w:p>
              </w:tc>
              <w:tc>
                <w:tcPr>
                  <w:tcW w:w="14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6"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170"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玉米</w:t>
                  </w:r>
                </w:p>
              </w:tc>
              <w:tc>
                <w:tcPr>
                  <w:tcW w:w="14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6"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170"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腰果</w:t>
                  </w:r>
                </w:p>
              </w:tc>
              <w:tc>
                <w:tcPr>
                  <w:tcW w:w="14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6"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170"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红豆</w:t>
                  </w:r>
                </w:p>
              </w:tc>
              <w:tc>
                <w:tcPr>
                  <w:tcW w:w="14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6"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170"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松子</w:t>
                  </w:r>
                </w:p>
              </w:tc>
              <w:tc>
                <w:tcPr>
                  <w:tcW w:w="14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6"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170"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开心果</w:t>
                  </w:r>
                </w:p>
              </w:tc>
              <w:tc>
                <w:tcPr>
                  <w:tcW w:w="14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6"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170"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赤小豆</w:t>
                  </w:r>
                </w:p>
              </w:tc>
              <w:tc>
                <w:tcPr>
                  <w:tcW w:w="14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6"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170"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红香米</w:t>
                  </w:r>
                </w:p>
              </w:tc>
              <w:tc>
                <w:tcPr>
                  <w:tcW w:w="14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6"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170"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黑香米</w:t>
                  </w:r>
                </w:p>
              </w:tc>
              <w:tc>
                <w:tcPr>
                  <w:tcW w:w="14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6"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170"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薏米</w:t>
                  </w:r>
                </w:p>
              </w:tc>
              <w:tc>
                <w:tcPr>
                  <w:tcW w:w="14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6"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170"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糯米</w:t>
                  </w:r>
                </w:p>
              </w:tc>
              <w:tc>
                <w:tcPr>
                  <w:tcW w:w="14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06"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bl>
          <w:p>
            <w:pPr>
              <w:widowControl/>
              <w:autoSpaceDE/>
              <w:autoSpaceDN/>
              <w:adjustRightInd/>
              <w:spacing w:line="240" w:lineRule="auto"/>
              <w:jc w:val="left"/>
              <w:rPr>
                <w:rFonts w:hint="default" w:ascii="Times New Roman" w:hAnsi="Times New Roman" w:cs="Times New Roman"/>
                <w:b/>
                <w:bCs/>
                <w:szCs w:val="32"/>
                <w:highlight w:val="none"/>
              </w:rPr>
            </w:pPr>
            <w:r>
              <w:rPr>
                <w:rFonts w:hint="default" w:ascii="Times New Roman" w:hAnsi="Times New Roman" w:cs="Times New Roman"/>
                <w:b/>
                <w:bCs/>
                <w:szCs w:val="32"/>
                <w:highlight w:val="none"/>
              </w:rPr>
              <w:br w:type="page"/>
            </w:r>
          </w:p>
          <w:p>
            <w:pPr>
              <w:autoSpaceDE/>
              <w:autoSpaceDN/>
              <w:spacing w:line="360" w:lineRule="auto"/>
              <w:ind w:firstLine="420" w:firstLineChars="200"/>
              <w:jc w:val="center"/>
              <w:rPr>
                <w:rFonts w:hint="default" w:ascii="Times New Roman" w:hAnsi="Times New Roman" w:eastAsia="黑体" w:cs="Times New Roman"/>
                <w:sz w:val="21"/>
                <w:szCs w:val="21"/>
                <w:highlight w:val="none"/>
              </w:rPr>
            </w:pPr>
            <w:r>
              <w:rPr>
                <w:rFonts w:hint="default" w:ascii="Times New Roman" w:hAnsi="Times New Roman" w:eastAsia="黑体" w:cs="Times New Roman"/>
                <w:sz w:val="21"/>
                <w:szCs w:val="21"/>
                <w:highlight w:val="none"/>
              </w:rPr>
              <w:t>表6 微流控芯片灵敏度检测结果</w:t>
            </w:r>
          </w:p>
          <w:tbl>
            <w:tblPr>
              <w:tblStyle w:val="7"/>
              <w:tblW w:w="8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1228"/>
              <w:gridCol w:w="1228"/>
              <w:gridCol w:w="1228"/>
              <w:gridCol w:w="1228"/>
              <w:gridCol w:w="1228"/>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428" w:type="dxa"/>
                  <w:vAlign w:val="center"/>
                </w:tcPr>
                <w:p>
                  <w:pPr>
                    <w:autoSpaceDE/>
                    <w:autoSpaceDN/>
                    <w:adjustRightInd/>
                    <w:spacing w:line="36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样品</w:t>
                  </w:r>
                </w:p>
              </w:tc>
              <w:tc>
                <w:tcPr>
                  <w:tcW w:w="1228" w:type="dxa"/>
                  <w:vAlign w:val="center"/>
                </w:tcPr>
                <w:p>
                  <w:pPr>
                    <w:autoSpaceDE/>
                    <w:autoSpaceDN/>
                    <w:adjustRightInd/>
                    <w:spacing w:line="24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大豆源性成分检测孔</w:t>
                  </w:r>
                </w:p>
              </w:tc>
              <w:tc>
                <w:tcPr>
                  <w:tcW w:w="1228" w:type="dxa"/>
                  <w:vAlign w:val="center"/>
                </w:tcPr>
                <w:p>
                  <w:pPr>
                    <w:autoSpaceDE/>
                    <w:autoSpaceDN/>
                    <w:adjustRightInd/>
                    <w:spacing w:line="24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核桃源性成分检测孔</w:t>
                  </w:r>
                </w:p>
              </w:tc>
              <w:tc>
                <w:tcPr>
                  <w:tcW w:w="1228" w:type="dxa"/>
                  <w:vAlign w:val="center"/>
                </w:tcPr>
                <w:p>
                  <w:pPr>
                    <w:autoSpaceDE/>
                    <w:autoSpaceDN/>
                    <w:adjustRightInd/>
                    <w:spacing w:line="24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榛子源性成分检测孔</w:t>
                  </w:r>
                </w:p>
              </w:tc>
              <w:tc>
                <w:tcPr>
                  <w:tcW w:w="1228" w:type="dxa"/>
                  <w:vAlign w:val="center"/>
                </w:tcPr>
                <w:p>
                  <w:pPr>
                    <w:autoSpaceDE/>
                    <w:autoSpaceDN/>
                    <w:adjustRightInd/>
                    <w:spacing w:line="24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花生源性成分检测孔</w:t>
                  </w:r>
                </w:p>
              </w:tc>
              <w:tc>
                <w:tcPr>
                  <w:tcW w:w="1228" w:type="dxa"/>
                  <w:vAlign w:val="center"/>
                </w:tcPr>
                <w:p>
                  <w:pPr>
                    <w:autoSpaceDE/>
                    <w:autoSpaceDN/>
                    <w:adjustRightInd/>
                    <w:spacing w:line="24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杏仁源性成分检测孔</w:t>
                  </w:r>
                </w:p>
              </w:tc>
              <w:tc>
                <w:tcPr>
                  <w:tcW w:w="1232" w:type="dxa"/>
                  <w:vAlign w:val="center"/>
                </w:tcPr>
                <w:p>
                  <w:pPr>
                    <w:autoSpaceDE/>
                    <w:autoSpaceDN/>
                    <w:adjustRightInd/>
                    <w:spacing w:line="24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椰子源性成分检测孔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28" w:type="dxa"/>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1%大豆饮料</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28" w:type="dxa"/>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0.1%大豆饮料</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28" w:type="dxa"/>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0.05%大豆饮料</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28" w:type="dxa"/>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1%核桃饮料</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28" w:type="dxa"/>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0.1%核桃饮料</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28" w:type="dxa"/>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0.05%核桃饮料</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28" w:type="dxa"/>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0.01%核桃饮料</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28" w:type="dxa"/>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1%榛子饮料</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28" w:type="dxa"/>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0.1%榛子饮料</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28" w:type="dxa"/>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0.05%榛子饮料</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28" w:type="dxa"/>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1%花生饮料</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28" w:type="dxa"/>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0.1%花生饮料</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28" w:type="dxa"/>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0.05%花生饮料</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28" w:type="dxa"/>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1%杏仁饮料</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28" w:type="dxa"/>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0.1%杏仁饮料</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28" w:type="dxa"/>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0.05%杏仁饮料</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28" w:type="dxa"/>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1%椰子饮料</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28" w:type="dxa"/>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0.1%椰子饮料</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428" w:type="dxa"/>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0.05%椰子饮料</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28"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c>
                <w:tcPr>
                  <w:tcW w:w="1232" w:type="dxa"/>
                </w:tcPr>
                <w:p>
                  <w:pPr>
                    <w:autoSpaceDE/>
                    <w:autoSpaceDN/>
                    <w:adjustRightInd/>
                    <w:spacing w:line="360" w:lineRule="auto"/>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w:t>
                  </w:r>
                </w:p>
              </w:tc>
            </w:tr>
          </w:tbl>
          <w:p>
            <w:pPr>
              <w:autoSpaceDE/>
              <w:autoSpaceDN/>
              <w:adjustRightInd/>
              <w:spacing w:line="360" w:lineRule="auto"/>
              <w:jc w:val="center"/>
              <w:rPr>
                <w:rFonts w:hint="default" w:ascii="Times New Roman" w:hAnsi="Times New Roman" w:cs="Times New Roman"/>
                <w:b/>
                <w:bCs/>
                <w:szCs w:val="32"/>
                <w:highlight w:val="none"/>
              </w:rPr>
            </w:pPr>
          </w:p>
          <w:p>
            <w:pPr>
              <w:autoSpaceDE/>
              <w:autoSpaceDN/>
              <w:spacing w:line="360" w:lineRule="auto"/>
              <w:ind w:firstLine="420" w:firstLineChars="200"/>
              <w:jc w:val="center"/>
              <w:rPr>
                <w:rFonts w:hint="default" w:ascii="Times New Roman" w:hAnsi="Times New Roman" w:eastAsia="黑体" w:cs="Times New Roman"/>
                <w:sz w:val="21"/>
                <w:szCs w:val="21"/>
                <w:highlight w:val="none"/>
              </w:rPr>
            </w:pPr>
            <w:r>
              <w:rPr>
                <w:rFonts w:hint="default" w:ascii="Times New Roman" w:hAnsi="Times New Roman" w:eastAsia="黑体" w:cs="Times New Roman"/>
                <w:sz w:val="21"/>
                <w:szCs w:val="21"/>
                <w:highlight w:val="none"/>
              </w:rPr>
              <w:t>表7 微流控芯片植物蛋白饮料样品检测结果</w:t>
            </w:r>
          </w:p>
          <w:tbl>
            <w:tblPr>
              <w:tblStyle w:val="7"/>
              <w:tblW w:w="8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224"/>
              <w:gridCol w:w="1224"/>
              <w:gridCol w:w="1224"/>
              <w:gridCol w:w="1224"/>
              <w:gridCol w:w="1224"/>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433"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样品名称</w:t>
                  </w:r>
                </w:p>
              </w:tc>
              <w:tc>
                <w:tcPr>
                  <w:tcW w:w="1224" w:type="dxa"/>
                  <w:vAlign w:val="center"/>
                </w:tcPr>
                <w:p>
                  <w:pPr>
                    <w:autoSpaceDE/>
                    <w:autoSpaceDN/>
                    <w:adjustRightInd/>
                    <w:spacing w:line="24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大豆源性成分检测孔</w:t>
                  </w:r>
                </w:p>
              </w:tc>
              <w:tc>
                <w:tcPr>
                  <w:tcW w:w="1224" w:type="dxa"/>
                  <w:vAlign w:val="center"/>
                </w:tcPr>
                <w:p>
                  <w:pPr>
                    <w:autoSpaceDE/>
                    <w:autoSpaceDN/>
                    <w:adjustRightInd/>
                    <w:spacing w:line="24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核桃源性成分检测孔</w:t>
                  </w:r>
                </w:p>
              </w:tc>
              <w:tc>
                <w:tcPr>
                  <w:tcW w:w="1224" w:type="dxa"/>
                  <w:vAlign w:val="center"/>
                </w:tcPr>
                <w:p>
                  <w:pPr>
                    <w:autoSpaceDE/>
                    <w:autoSpaceDN/>
                    <w:adjustRightInd/>
                    <w:spacing w:line="24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榛子源性成分检测孔</w:t>
                  </w:r>
                </w:p>
              </w:tc>
              <w:tc>
                <w:tcPr>
                  <w:tcW w:w="1224" w:type="dxa"/>
                  <w:vAlign w:val="center"/>
                </w:tcPr>
                <w:p>
                  <w:pPr>
                    <w:autoSpaceDE/>
                    <w:autoSpaceDN/>
                    <w:adjustRightInd/>
                    <w:spacing w:line="24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花生源性成分检测孔</w:t>
                  </w:r>
                </w:p>
              </w:tc>
              <w:tc>
                <w:tcPr>
                  <w:tcW w:w="1224" w:type="dxa"/>
                  <w:vAlign w:val="center"/>
                </w:tcPr>
                <w:p>
                  <w:pPr>
                    <w:autoSpaceDE/>
                    <w:autoSpaceDN/>
                    <w:adjustRightInd/>
                    <w:spacing w:line="24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杏仁源性成分检测孔</w:t>
                  </w:r>
                </w:p>
              </w:tc>
              <w:tc>
                <w:tcPr>
                  <w:tcW w:w="1227" w:type="dxa"/>
                  <w:vAlign w:val="center"/>
                </w:tcPr>
                <w:p>
                  <w:pPr>
                    <w:autoSpaceDE/>
                    <w:autoSpaceDN/>
                    <w:adjustRightInd/>
                    <w:spacing w:line="24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椰子源性成分检测孔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33"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豆奶1</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7"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33"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20"/>
                      <w:highlight w:val="none"/>
                    </w:rPr>
                    <w:t>豆奶2</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7"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433" w:type="dxa"/>
                  <w:vAlign w:val="center"/>
                </w:tcPr>
                <w:p>
                  <w:pPr>
                    <w:autoSpaceDE/>
                    <w:autoSpaceDN/>
                    <w:adjustRightInd/>
                    <w:spacing w:line="240" w:lineRule="auto"/>
                    <w:jc w:val="center"/>
                    <w:rPr>
                      <w:rFonts w:hint="default" w:ascii="Times New Roman" w:hAnsi="Times New Roman" w:eastAsia="仿宋_GB2312" w:cs="Times New Roman"/>
                      <w:sz w:val="20"/>
                      <w:highlight w:val="none"/>
                      <w:lang w:eastAsia="zh-CN"/>
                    </w:rPr>
                  </w:pPr>
                  <w:r>
                    <w:rPr>
                      <w:rFonts w:hint="default" w:ascii="Times New Roman" w:hAnsi="Times New Roman" w:cs="Times New Roman"/>
                      <w:sz w:val="18"/>
                      <w:szCs w:val="18"/>
                      <w:highlight w:val="none"/>
                    </w:rPr>
                    <w:t>豆奶</w:t>
                  </w:r>
                  <w:r>
                    <w:rPr>
                      <w:rFonts w:hint="default" w:ascii="Times New Roman" w:hAnsi="Times New Roman" w:cs="Times New Roman"/>
                      <w:sz w:val="18"/>
                      <w:szCs w:val="18"/>
                      <w:highlight w:val="none"/>
                      <w:lang w:val="en-US" w:eastAsia="zh-CN"/>
                    </w:rPr>
                    <w:t>3</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7"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33" w:type="dxa"/>
                  <w:vAlign w:val="center"/>
                </w:tcPr>
                <w:p>
                  <w:pPr>
                    <w:autoSpaceDE/>
                    <w:autoSpaceDN/>
                    <w:adjustRightInd/>
                    <w:spacing w:line="240" w:lineRule="auto"/>
                    <w:jc w:val="center"/>
                    <w:rPr>
                      <w:rFonts w:hint="default" w:ascii="Times New Roman" w:hAnsi="Times New Roman" w:eastAsia="仿宋_GB2312" w:cs="Times New Roman"/>
                      <w:sz w:val="20"/>
                      <w:highlight w:val="none"/>
                      <w:lang w:eastAsia="zh-CN"/>
                    </w:rPr>
                  </w:pPr>
                  <w:r>
                    <w:rPr>
                      <w:rFonts w:hint="default" w:ascii="Times New Roman" w:hAnsi="Times New Roman" w:cs="Times New Roman"/>
                      <w:sz w:val="18"/>
                      <w:szCs w:val="18"/>
                      <w:highlight w:val="none"/>
                    </w:rPr>
                    <w:t>豆奶</w:t>
                  </w:r>
                  <w:r>
                    <w:rPr>
                      <w:rFonts w:hint="default" w:ascii="Times New Roman" w:hAnsi="Times New Roman" w:cs="Times New Roman"/>
                      <w:sz w:val="18"/>
                      <w:szCs w:val="18"/>
                      <w:highlight w:val="none"/>
                      <w:lang w:val="en-US" w:eastAsia="zh-CN"/>
                    </w:rPr>
                    <w:t>4</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7"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33" w:type="dxa"/>
                  <w:vAlign w:val="center"/>
                </w:tcPr>
                <w:p>
                  <w:pPr>
                    <w:autoSpaceDE/>
                    <w:autoSpaceDN/>
                    <w:adjustRightInd/>
                    <w:spacing w:line="240" w:lineRule="auto"/>
                    <w:jc w:val="center"/>
                    <w:rPr>
                      <w:rFonts w:hint="default" w:ascii="Times New Roman" w:hAnsi="Times New Roman" w:cs="Times New Roman"/>
                      <w:sz w:val="20"/>
                      <w:highlight w:val="none"/>
                    </w:rPr>
                  </w:pPr>
                  <w:r>
                    <w:rPr>
                      <w:rFonts w:hint="default" w:ascii="Times New Roman" w:hAnsi="Times New Roman" w:cs="Times New Roman"/>
                      <w:sz w:val="18"/>
                      <w:szCs w:val="18"/>
                      <w:highlight w:val="none"/>
                    </w:rPr>
                    <w:t>豆浆</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7"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33" w:type="dxa"/>
                  <w:vAlign w:val="center"/>
                </w:tcPr>
                <w:p>
                  <w:pPr>
                    <w:autoSpaceDE/>
                    <w:autoSpaceDN/>
                    <w:adjustRightInd/>
                    <w:spacing w:line="240" w:lineRule="auto"/>
                    <w:jc w:val="center"/>
                    <w:rPr>
                      <w:rFonts w:hint="default" w:ascii="Times New Roman" w:hAnsi="Times New Roman" w:eastAsia="仿宋_GB2312" w:cs="Times New Roman"/>
                      <w:sz w:val="18"/>
                      <w:szCs w:val="18"/>
                      <w:highlight w:val="none"/>
                      <w:lang w:val="en-US" w:eastAsia="zh-CN"/>
                    </w:rPr>
                  </w:pPr>
                  <w:r>
                    <w:rPr>
                      <w:rFonts w:hint="default" w:ascii="Times New Roman" w:hAnsi="Times New Roman" w:cs="Times New Roman"/>
                      <w:sz w:val="18"/>
                      <w:szCs w:val="18"/>
                      <w:highlight w:val="none"/>
                      <w:lang w:val="en-US" w:eastAsia="zh-CN"/>
                    </w:rPr>
                    <w:t>自制大豆椰奶</w:t>
                  </w:r>
                </w:p>
              </w:tc>
              <w:tc>
                <w:tcPr>
                  <w:tcW w:w="1224" w:type="dxa"/>
                  <w:vAlign w:val="center"/>
                </w:tcPr>
                <w:p>
                  <w:pPr>
                    <w:autoSpaceDE/>
                    <w:autoSpaceDN/>
                    <w:adjustRightInd/>
                    <w:spacing w:line="36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lang w:val="en-US" w:eastAsia="zh-CN"/>
                    </w:rPr>
                    <w:t>+</w:t>
                  </w:r>
                </w:p>
              </w:tc>
              <w:tc>
                <w:tcPr>
                  <w:tcW w:w="1224" w:type="dxa"/>
                  <w:vAlign w:val="center"/>
                </w:tcPr>
                <w:p>
                  <w:pPr>
                    <w:autoSpaceDE/>
                    <w:autoSpaceDN/>
                    <w:adjustRightInd/>
                    <w:spacing w:line="36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lang w:val="en-US" w:eastAsia="zh-CN"/>
                    </w:rPr>
                    <w:t>-</w:t>
                  </w:r>
                </w:p>
              </w:tc>
              <w:tc>
                <w:tcPr>
                  <w:tcW w:w="1224" w:type="dxa"/>
                  <w:vAlign w:val="center"/>
                </w:tcPr>
                <w:p>
                  <w:pPr>
                    <w:autoSpaceDE/>
                    <w:autoSpaceDN/>
                    <w:adjustRightInd/>
                    <w:spacing w:line="36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lang w:val="en-US" w:eastAsia="zh-CN"/>
                    </w:rPr>
                    <w:t>-</w:t>
                  </w:r>
                </w:p>
              </w:tc>
              <w:tc>
                <w:tcPr>
                  <w:tcW w:w="1224" w:type="dxa"/>
                  <w:vAlign w:val="center"/>
                </w:tcPr>
                <w:p>
                  <w:pPr>
                    <w:autoSpaceDE/>
                    <w:autoSpaceDN/>
                    <w:adjustRightInd/>
                    <w:spacing w:line="36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lang w:val="en-US" w:eastAsia="zh-CN"/>
                    </w:rPr>
                    <w:t>-</w:t>
                  </w:r>
                </w:p>
              </w:tc>
              <w:tc>
                <w:tcPr>
                  <w:tcW w:w="1224" w:type="dxa"/>
                  <w:vAlign w:val="center"/>
                </w:tcPr>
                <w:p>
                  <w:pPr>
                    <w:autoSpaceDE/>
                    <w:autoSpaceDN/>
                    <w:adjustRightInd/>
                    <w:spacing w:line="36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lang w:val="en-US" w:eastAsia="zh-CN"/>
                    </w:rPr>
                    <w:t>-</w:t>
                  </w:r>
                </w:p>
              </w:tc>
              <w:tc>
                <w:tcPr>
                  <w:tcW w:w="1227" w:type="dxa"/>
                  <w:vAlign w:val="center"/>
                </w:tcPr>
                <w:p>
                  <w:pPr>
                    <w:autoSpaceDE/>
                    <w:autoSpaceDN/>
                    <w:adjustRightInd/>
                    <w:spacing w:line="36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33" w:type="dxa"/>
                  <w:vAlign w:val="center"/>
                </w:tcPr>
                <w:p>
                  <w:pPr>
                    <w:autoSpaceDE/>
                    <w:autoSpaceDN/>
                    <w:adjustRightInd/>
                    <w:spacing w:line="24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rPr>
                    <w:t>榛子乳</w:t>
                  </w:r>
                  <w:r>
                    <w:rPr>
                      <w:rFonts w:hint="default" w:ascii="Times New Roman" w:hAnsi="Times New Roman" w:cs="Times New Roman"/>
                      <w:sz w:val="20"/>
                      <w:highlight w:val="none"/>
                      <w:lang w:val="en-US" w:eastAsia="zh-CN"/>
                    </w:rPr>
                    <w:t>1</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7"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33" w:type="dxa"/>
                  <w:vAlign w:val="center"/>
                </w:tcPr>
                <w:p>
                  <w:pPr>
                    <w:autoSpaceDE/>
                    <w:autoSpaceDN/>
                    <w:adjustRightInd/>
                    <w:spacing w:line="24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rPr>
                    <w:t>榛子乳</w:t>
                  </w:r>
                  <w:r>
                    <w:rPr>
                      <w:rFonts w:hint="default" w:ascii="Times New Roman" w:hAnsi="Times New Roman" w:cs="Times New Roman"/>
                      <w:sz w:val="20"/>
                      <w:highlight w:val="none"/>
                      <w:lang w:val="en-US" w:eastAsia="zh-CN"/>
                    </w:rPr>
                    <w:t>2</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7"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33" w:type="dxa"/>
                  <w:vAlign w:val="center"/>
                </w:tcPr>
                <w:p>
                  <w:pPr>
                    <w:autoSpaceDE/>
                    <w:autoSpaceDN/>
                    <w:adjustRightInd/>
                    <w:spacing w:line="24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自制榛子乳</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7"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33" w:type="dxa"/>
                  <w:vAlign w:val="center"/>
                </w:tcPr>
                <w:p>
                  <w:pPr>
                    <w:autoSpaceDE/>
                    <w:autoSpaceDN/>
                    <w:adjustRightInd/>
                    <w:spacing w:line="24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rPr>
                    <w:t>大豆榛子乳</w:t>
                  </w:r>
                  <w:r>
                    <w:rPr>
                      <w:rFonts w:hint="default" w:ascii="Times New Roman" w:hAnsi="Times New Roman" w:cs="Times New Roman"/>
                      <w:sz w:val="20"/>
                      <w:highlight w:val="none"/>
                      <w:lang w:val="en-US" w:eastAsia="zh-CN"/>
                    </w:rPr>
                    <w:t>1</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7"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33" w:type="dxa"/>
                  <w:vAlign w:val="center"/>
                </w:tcPr>
                <w:p>
                  <w:pPr>
                    <w:autoSpaceDE/>
                    <w:autoSpaceDN/>
                    <w:adjustRightInd/>
                    <w:spacing w:line="24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rPr>
                    <w:t>大豆榛子乳</w:t>
                  </w:r>
                  <w:r>
                    <w:rPr>
                      <w:rFonts w:hint="default" w:ascii="Times New Roman" w:hAnsi="Times New Roman" w:cs="Times New Roman"/>
                      <w:sz w:val="20"/>
                      <w:highlight w:val="none"/>
                      <w:lang w:val="en-US" w:eastAsia="zh-CN"/>
                    </w:rPr>
                    <w:t>2</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7"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33" w:type="dxa"/>
                  <w:vAlign w:val="center"/>
                </w:tcPr>
                <w:p>
                  <w:pPr>
                    <w:autoSpaceDE/>
                    <w:autoSpaceDN/>
                    <w:adjustRightInd/>
                    <w:spacing w:line="24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rPr>
                    <w:t>核桃乳</w:t>
                  </w:r>
                  <w:r>
                    <w:rPr>
                      <w:rFonts w:hint="default" w:ascii="Times New Roman" w:hAnsi="Times New Roman" w:cs="Times New Roman"/>
                      <w:sz w:val="20"/>
                      <w:highlight w:val="none"/>
                      <w:lang w:val="en-US" w:eastAsia="zh-CN"/>
                    </w:rPr>
                    <w:t>1</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7"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33" w:type="dxa"/>
                  <w:vAlign w:val="center"/>
                </w:tcPr>
                <w:p>
                  <w:pPr>
                    <w:autoSpaceDE/>
                    <w:autoSpaceDN/>
                    <w:adjustRightInd/>
                    <w:spacing w:line="24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rPr>
                    <w:t>核桃乳</w:t>
                  </w:r>
                  <w:r>
                    <w:rPr>
                      <w:rFonts w:hint="default" w:ascii="Times New Roman" w:hAnsi="Times New Roman" w:cs="Times New Roman"/>
                      <w:sz w:val="20"/>
                      <w:highlight w:val="none"/>
                      <w:lang w:val="en-US" w:eastAsia="zh-CN"/>
                    </w:rPr>
                    <w:t>2</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7"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33" w:type="dxa"/>
                  <w:vAlign w:val="center"/>
                </w:tcPr>
                <w:p>
                  <w:pPr>
                    <w:autoSpaceDE/>
                    <w:autoSpaceDN/>
                    <w:adjustRightInd/>
                    <w:spacing w:line="24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rPr>
                    <w:t>自制核桃乳</w:t>
                  </w:r>
                  <w:r>
                    <w:rPr>
                      <w:rFonts w:hint="default" w:ascii="Times New Roman" w:hAnsi="Times New Roman" w:cs="Times New Roman"/>
                      <w:sz w:val="20"/>
                      <w:highlight w:val="none"/>
                      <w:lang w:val="en-US" w:eastAsia="zh-CN"/>
                    </w:rPr>
                    <w:t>1</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7"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33" w:type="dxa"/>
                  <w:vAlign w:val="center"/>
                </w:tcPr>
                <w:p>
                  <w:pPr>
                    <w:autoSpaceDE/>
                    <w:autoSpaceDN/>
                    <w:adjustRightInd/>
                    <w:spacing w:line="24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rPr>
                    <w:t>自制核桃乳</w:t>
                  </w:r>
                  <w:r>
                    <w:rPr>
                      <w:rFonts w:hint="default" w:ascii="Times New Roman" w:hAnsi="Times New Roman" w:cs="Times New Roman"/>
                      <w:sz w:val="20"/>
                      <w:highlight w:val="none"/>
                      <w:lang w:val="en-US" w:eastAsia="zh-CN"/>
                    </w:rPr>
                    <w:t>2</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7"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433" w:type="dxa"/>
                  <w:vAlign w:val="center"/>
                </w:tcPr>
                <w:p>
                  <w:pPr>
                    <w:autoSpaceDE/>
                    <w:autoSpaceDN/>
                    <w:adjustRightInd/>
                    <w:spacing w:line="24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核桃牛奶</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7"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33" w:type="dxa"/>
                  <w:vAlign w:val="center"/>
                </w:tcPr>
                <w:p>
                  <w:pPr>
                    <w:autoSpaceDE/>
                    <w:autoSpaceDN/>
                    <w:adjustRightInd/>
                    <w:spacing w:line="24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lang w:val="en-US" w:eastAsia="zh-CN"/>
                    </w:rPr>
                    <w:t>花生芝麻牛奶</w:t>
                  </w:r>
                </w:p>
              </w:tc>
              <w:tc>
                <w:tcPr>
                  <w:tcW w:w="1224" w:type="dxa"/>
                  <w:vAlign w:val="center"/>
                </w:tcPr>
                <w:p>
                  <w:pPr>
                    <w:autoSpaceDE/>
                    <w:autoSpaceDN/>
                    <w:adjustRightInd/>
                    <w:spacing w:line="36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lang w:val="en-US" w:eastAsia="zh-CN"/>
                    </w:rPr>
                    <w:t>-</w:t>
                  </w:r>
                </w:p>
              </w:tc>
              <w:tc>
                <w:tcPr>
                  <w:tcW w:w="1224" w:type="dxa"/>
                  <w:vAlign w:val="center"/>
                </w:tcPr>
                <w:p>
                  <w:pPr>
                    <w:autoSpaceDE/>
                    <w:autoSpaceDN/>
                    <w:adjustRightInd/>
                    <w:spacing w:line="36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lang w:val="en-US" w:eastAsia="zh-CN"/>
                    </w:rPr>
                    <w:t>-</w:t>
                  </w:r>
                </w:p>
              </w:tc>
              <w:tc>
                <w:tcPr>
                  <w:tcW w:w="1224" w:type="dxa"/>
                  <w:vAlign w:val="center"/>
                </w:tcPr>
                <w:p>
                  <w:pPr>
                    <w:autoSpaceDE/>
                    <w:autoSpaceDN/>
                    <w:adjustRightInd/>
                    <w:spacing w:line="36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lang w:val="en-US" w:eastAsia="zh-CN"/>
                    </w:rPr>
                    <w:t>-</w:t>
                  </w:r>
                </w:p>
              </w:tc>
              <w:tc>
                <w:tcPr>
                  <w:tcW w:w="1224" w:type="dxa"/>
                  <w:vAlign w:val="center"/>
                </w:tcPr>
                <w:p>
                  <w:pPr>
                    <w:autoSpaceDE/>
                    <w:autoSpaceDN/>
                    <w:adjustRightInd/>
                    <w:spacing w:line="36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lang w:val="en-US" w:eastAsia="zh-CN"/>
                    </w:rPr>
                    <w:t>+</w:t>
                  </w:r>
                </w:p>
              </w:tc>
              <w:tc>
                <w:tcPr>
                  <w:tcW w:w="1224" w:type="dxa"/>
                  <w:vAlign w:val="center"/>
                </w:tcPr>
                <w:p>
                  <w:pPr>
                    <w:autoSpaceDE/>
                    <w:autoSpaceDN/>
                    <w:adjustRightInd/>
                    <w:spacing w:line="36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lang w:val="en-US" w:eastAsia="zh-CN"/>
                    </w:rPr>
                    <w:t>-</w:t>
                  </w:r>
                </w:p>
              </w:tc>
              <w:tc>
                <w:tcPr>
                  <w:tcW w:w="1227" w:type="dxa"/>
                  <w:vAlign w:val="center"/>
                </w:tcPr>
                <w:p>
                  <w:pPr>
                    <w:autoSpaceDE/>
                    <w:autoSpaceDN/>
                    <w:adjustRightInd/>
                    <w:spacing w:line="36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33" w:type="dxa"/>
                  <w:vAlign w:val="center"/>
                </w:tcPr>
                <w:p>
                  <w:pPr>
                    <w:autoSpaceDE/>
                    <w:autoSpaceDN/>
                    <w:adjustRightInd/>
                    <w:spacing w:line="24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rPr>
                    <w:t>花生乳</w:t>
                  </w:r>
                  <w:r>
                    <w:rPr>
                      <w:rFonts w:hint="default" w:ascii="Times New Roman" w:hAnsi="Times New Roman" w:cs="Times New Roman"/>
                      <w:sz w:val="20"/>
                      <w:highlight w:val="none"/>
                      <w:lang w:val="en-US" w:eastAsia="zh-CN"/>
                    </w:rPr>
                    <w:t>1</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7"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33" w:type="dxa"/>
                  <w:vAlign w:val="center"/>
                </w:tcPr>
                <w:p>
                  <w:pPr>
                    <w:autoSpaceDE/>
                    <w:autoSpaceDN/>
                    <w:adjustRightInd/>
                    <w:spacing w:line="24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rPr>
                    <w:t>花生乳</w:t>
                  </w:r>
                  <w:r>
                    <w:rPr>
                      <w:rFonts w:hint="default" w:ascii="Times New Roman" w:hAnsi="Times New Roman" w:cs="Times New Roman"/>
                      <w:sz w:val="20"/>
                      <w:highlight w:val="none"/>
                      <w:lang w:val="en-US" w:eastAsia="zh-CN"/>
                    </w:rPr>
                    <w:t>2</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7"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33" w:type="dxa"/>
                  <w:vAlign w:val="center"/>
                </w:tcPr>
                <w:p>
                  <w:pPr>
                    <w:autoSpaceDE/>
                    <w:autoSpaceDN/>
                    <w:adjustRightInd/>
                    <w:spacing w:line="24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rPr>
                    <w:t>花生牛奶</w:t>
                  </w:r>
                  <w:r>
                    <w:rPr>
                      <w:rFonts w:hint="default" w:ascii="Times New Roman" w:hAnsi="Times New Roman" w:cs="Times New Roman"/>
                      <w:sz w:val="20"/>
                      <w:highlight w:val="none"/>
                      <w:lang w:val="en-US" w:eastAsia="zh-CN"/>
                    </w:rPr>
                    <w:t>1</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7"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33" w:type="dxa"/>
                  <w:vAlign w:val="center"/>
                </w:tcPr>
                <w:p>
                  <w:pPr>
                    <w:autoSpaceDE/>
                    <w:autoSpaceDN/>
                    <w:adjustRightInd/>
                    <w:spacing w:line="24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rPr>
                    <w:t>花生牛奶</w:t>
                  </w:r>
                  <w:r>
                    <w:rPr>
                      <w:rFonts w:hint="default" w:ascii="Times New Roman" w:hAnsi="Times New Roman" w:cs="Times New Roman"/>
                      <w:sz w:val="20"/>
                      <w:highlight w:val="none"/>
                      <w:lang w:val="en-US" w:eastAsia="zh-CN"/>
                    </w:rPr>
                    <w:t>2</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7"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33" w:type="dxa"/>
                  <w:vAlign w:val="center"/>
                </w:tcPr>
                <w:p>
                  <w:pPr>
                    <w:autoSpaceDE/>
                    <w:autoSpaceDN/>
                    <w:adjustRightInd/>
                    <w:spacing w:line="24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自制花生乳</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7"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33" w:type="dxa"/>
                  <w:vAlign w:val="center"/>
                </w:tcPr>
                <w:p>
                  <w:pPr>
                    <w:autoSpaceDE/>
                    <w:autoSpaceDN/>
                    <w:adjustRightInd/>
                    <w:spacing w:line="24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rPr>
                    <w:t>杏仁露</w:t>
                  </w:r>
                  <w:r>
                    <w:rPr>
                      <w:rFonts w:hint="default" w:ascii="Times New Roman" w:hAnsi="Times New Roman" w:cs="Times New Roman"/>
                      <w:sz w:val="20"/>
                      <w:highlight w:val="none"/>
                      <w:lang w:val="en-US" w:eastAsia="zh-CN"/>
                    </w:rPr>
                    <w:t>1</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7"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33" w:type="dxa"/>
                  <w:vAlign w:val="center"/>
                </w:tcPr>
                <w:p>
                  <w:pPr>
                    <w:autoSpaceDE/>
                    <w:autoSpaceDN/>
                    <w:adjustRightInd/>
                    <w:spacing w:line="24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rPr>
                    <w:t>杏仁露</w:t>
                  </w:r>
                  <w:r>
                    <w:rPr>
                      <w:rFonts w:hint="default" w:ascii="Times New Roman" w:hAnsi="Times New Roman" w:cs="Times New Roman"/>
                      <w:sz w:val="20"/>
                      <w:highlight w:val="none"/>
                      <w:lang w:val="en-US" w:eastAsia="zh-CN"/>
                    </w:rPr>
                    <w:t>2</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7"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33" w:type="dxa"/>
                  <w:vAlign w:val="center"/>
                </w:tcPr>
                <w:p>
                  <w:pPr>
                    <w:autoSpaceDE/>
                    <w:autoSpaceDN/>
                    <w:adjustRightInd/>
                    <w:spacing w:line="24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rPr>
                    <w:t>自制杏仁露</w:t>
                  </w:r>
                  <w:r>
                    <w:rPr>
                      <w:rFonts w:hint="default" w:ascii="Times New Roman" w:hAnsi="Times New Roman" w:cs="Times New Roman"/>
                      <w:sz w:val="20"/>
                      <w:highlight w:val="none"/>
                      <w:lang w:val="en-US" w:eastAsia="zh-CN"/>
                    </w:rPr>
                    <w:t>1</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7"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33" w:type="dxa"/>
                  <w:vAlign w:val="center"/>
                </w:tcPr>
                <w:p>
                  <w:pPr>
                    <w:autoSpaceDE/>
                    <w:autoSpaceDN/>
                    <w:adjustRightInd/>
                    <w:spacing w:line="24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rPr>
                    <w:t>自制杏仁露</w:t>
                  </w:r>
                  <w:r>
                    <w:rPr>
                      <w:rFonts w:hint="default" w:ascii="Times New Roman" w:hAnsi="Times New Roman" w:cs="Times New Roman"/>
                      <w:sz w:val="20"/>
                      <w:highlight w:val="none"/>
                      <w:lang w:val="en-US" w:eastAsia="zh-CN"/>
                    </w:rPr>
                    <w:t>2</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7"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33" w:type="dxa"/>
                  <w:vAlign w:val="center"/>
                </w:tcPr>
                <w:p>
                  <w:pPr>
                    <w:autoSpaceDE/>
                    <w:autoSpaceDN/>
                    <w:adjustRightInd/>
                    <w:spacing w:line="24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椰子汁1</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7"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33" w:type="dxa"/>
                  <w:vAlign w:val="center"/>
                </w:tcPr>
                <w:p>
                  <w:pPr>
                    <w:autoSpaceDE/>
                    <w:autoSpaceDN/>
                    <w:adjustRightInd/>
                    <w:spacing w:line="24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椰子汁2</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7"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33" w:type="dxa"/>
                  <w:vAlign w:val="center"/>
                </w:tcPr>
                <w:p>
                  <w:pPr>
                    <w:autoSpaceDE/>
                    <w:autoSpaceDN/>
                    <w:adjustRightInd/>
                    <w:spacing w:line="24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椰奶</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7"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33" w:type="dxa"/>
                  <w:vAlign w:val="center"/>
                </w:tcPr>
                <w:p>
                  <w:pPr>
                    <w:autoSpaceDE/>
                    <w:autoSpaceDN/>
                    <w:adjustRightInd/>
                    <w:spacing w:line="24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lang w:val="en-US" w:eastAsia="zh-CN"/>
                    </w:rPr>
                    <w:t>椰汁饮料</w:t>
                  </w:r>
                </w:p>
              </w:tc>
              <w:tc>
                <w:tcPr>
                  <w:tcW w:w="1224" w:type="dxa"/>
                  <w:vAlign w:val="center"/>
                </w:tcPr>
                <w:p>
                  <w:pPr>
                    <w:autoSpaceDE/>
                    <w:autoSpaceDN/>
                    <w:adjustRightInd/>
                    <w:spacing w:line="36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lang w:val="en-US" w:eastAsia="zh-CN"/>
                    </w:rPr>
                    <w:t>-</w:t>
                  </w:r>
                </w:p>
              </w:tc>
              <w:tc>
                <w:tcPr>
                  <w:tcW w:w="1224" w:type="dxa"/>
                  <w:vAlign w:val="center"/>
                </w:tcPr>
                <w:p>
                  <w:pPr>
                    <w:autoSpaceDE/>
                    <w:autoSpaceDN/>
                    <w:adjustRightInd/>
                    <w:spacing w:line="36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lang w:val="en-US" w:eastAsia="zh-CN"/>
                    </w:rPr>
                    <w:t>-</w:t>
                  </w:r>
                </w:p>
              </w:tc>
              <w:tc>
                <w:tcPr>
                  <w:tcW w:w="1224" w:type="dxa"/>
                  <w:vAlign w:val="center"/>
                </w:tcPr>
                <w:p>
                  <w:pPr>
                    <w:autoSpaceDE/>
                    <w:autoSpaceDN/>
                    <w:adjustRightInd/>
                    <w:spacing w:line="36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lang w:val="en-US" w:eastAsia="zh-CN"/>
                    </w:rPr>
                    <w:t>-</w:t>
                  </w:r>
                </w:p>
              </w:tc>
              <w:tc>
                <w:tcPr>
                  <w:tcW w:w="1224" w:type="dxa"/>
                  <w:vAlign w:val="center"/>
                </w:tcPr>
                <w:p>
                  <w:pPr>
                    <w:autoSpaceDE/>
                    <w:autoSpaceDN/>
                    <w:adjustRightInd/>
                    <w:spacing w:line="36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lang w:val="en-US" w:eastAsia="zh-CN"/>
                    </w:rPr>
                    <w:t>-</w:t>
                  </w:r>
                </w:p>
              </w:tc>
              <w:tc>
                <w:tcPr>
                  <w:tcW w:w="1224" w:type="dxa"/>
                  <w:vAlign w:val="center"/>
                </w:tcPr>
                <w:p>
                  <w:pPr>
                    <w:autoSpaceDE/>
                    <w:autoSpaceDN/>
                    <w:adjustRightInd/>
                    <w:spacing w:line="36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lang w:val="en-US" w:eastAsia="zh-CN"/>
                    </w:rPr>
                    <w:t>-</w:t>
                  </w:r>
                </w:p>
              </w:tc>
              <w:tc>
                <w:tcPr>
                  <w:tcW w:w="1227" w:type="dxa"/>
                  <w:vAlign w:val="center"/>
                </w:tcPr>
                <w:p>
                  <w:pPr>
                    <w:autoSpaceDE/>
                    <w:autoSpaceDN/>
                    <w:adjustRightInd/>
                    <w:spacing w:line="36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33" w:type="dxa"/>
                  <w:vAlign w:val="center"/>
                </w:tcPr>
                <w:p>
                  <w:pPr>
                    <w:autoSpaceDE/>
                    <w:autoSpaceDN/>
                    <w:adjustRightInd/>
                    <w:spacing w:line="240" w:lineRule="auto"/>
                    <w:jc w:val="center"/>
                    <w:rPr>
                      <w:rFonts w:hint="default" w:ascii="Times New Roman" w:hAnsi="Times New Roman" w:cs="Times New Roman"/>
                      <w:sz w:val="20"/>
                      <w:highlight w:val="none"/>
                      <w:lang w:val="en-US" w:eastAsia="zh-CN"/>
                    </w:rPr>
                  </w:pPr>
                  <w:r>
                    <w:rPr>
                      <w:rFonts w:hint="default" w:ascii="Times New Roman" w:hAnsi="Times New Roman" w:cs="Times New Roman"/>
                      <w:sz w:val="20"/>
                      <w:highlight w:val="none"/>
                      <w:lang w:val="en-US" w:eastAsia="zh-CN"/>
                    </w:rPr>
                    <w:t>椰子水饮料</w:t>
                  </w:r>
                </w:p>
              </w:tc>
              <w:tc>
                <w:tcPr>
                  <w:tcW w:w="1224" w:type="dxa"/>
                  <w:vAlign w:val="center"/>
                </w:tcPr>
                <w:p>
                  <w:pPr>
                    <w:autoSpaceDE/>
                    <w:autoSpaceDN/>
                    <w:adjustRightInd/>
                    <w:spacing w:line="36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lang w:val="en-US" w:eastAsia="zh-CN"/>
                    </w:rPr>
                    <w:t>-</w:t>
                  </w:r>
                </w:p>
              </w:tc>
              <w:tc>
                <w:tcPr>
                  <w:tcW w:w="1224" w:type="dxa"/>
                  <w:vAlign w:val="center"/>
                </w:tcPr>
                <w:p>
                  <w:pPr>
                    <w:autoSpaceDE/>
                    <w:autoSpaceDN/>
                    <w:adjustRightInd/>
                    <w:spacing w:line="36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lang w:val="en-US" w:eastAsia="zh-CN"/>
                    </w:rPr>
                    <w:t>-</w:t>
                  </w:r>
                </w:p>
              </w:tc>
              <w:tc>
                <w:tcPr>
                  <w:tcW w:w="1224" w:type="dxa"/>
                  <w:vAlign w:val="center"/>
                </w:tcPr>
                <w:p>
                  <w:pPr>
                    <w:autoSpaceDE/>
                    <w:autoSpaceDN/>
                    <w:adjustRightInd/>
                    <w:spacing w:line="36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lang w:val="en-US" w:eastAsia="zh-CN"/>
                    </w:rPr>
                    <w:t>-</w:t>
                  </w:r>
                </w:p>
              </w:tc>
              <w:tc>
                <w:tcPr>
                  <w:tcW w:w="1224" w:type="dxa"/>
                  <w:vAlign w:val="center"/>
                </w:tcPr>
                <w:p>
                  <w:pPr>
                    <w:autoSpaceDE/>
                    <w:autoSpaceDN/>
                    <w:adjustRightInd/>
                    <w:spacing w:line="36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lang w:val="en-US" w:eastAsia="zh-CN"/>
                    </w:rPr>
                    <w:t>-</w:t>
                  </w:r>
                </w:p>
              </w:tc>
              <w:tc>
                <w:tcPr>
                  <w:tcW w:w="1224" w:type="dxa"/>
                  <w:vAlign w:val="center"/>
                </w:tcPr>
                <w:p>
                  <w:pPr>
                    <w:autoSpaceDE/>
                    <w:autoSpaceDN/>
                    <w:adjustRightInd/>
                    <w:spacing w:line="36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lang w:val="en-US" w:eastAsia="zh-CN"/>
                    </w:rPr>
                    <w:t>-</w:t>
                  </w:r>
                </w:p>
              </w:tc>
              <w:tc>
                <w:tcPr>
                  <w:tcW w:w="1227" w:type="dxa"/>
                  <w:vAlign w:val="center"/>
                </w:tcPr>
                <w:p>
                  <w:pPr>
                    <w:autoSpaceDE/>
                    <w:autoSpaceDN/>
                    <w:adjustRightInd/>
                    <w:spacing w:line="36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33" w:type="dxa"/>
                  <w:vAlign w:val="center"/>
                </w:tcPr>
                <w:p>
                  <w:pPr>
                    <w:autoSpaceDE/>
                    <w:autoSpaceDN/>
                    <w:adjustRightInd/>
                    <w:spacing w:line="24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花生核桃乳</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7"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33" w:type="dxa"/>
                  <w:vAlign w:val="center"/>
                </w:tcPr>
                <w:p>
                  <w:pPr>
                    <w:autoSpaceDE/>
                    <w:autoSpaceDN/>
                    <w:adjustRightInd/>
                    <w:spacing w:line="24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自制大豆椰子乳</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7"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433" w:type="dxa"/>
                  <w:vAlign w:val="center"/>
                </w:tcPr>
                <w:p>
                  <w:pPr>
                    <w:autoSpaceDE/>
                    <w:autoSpaceDN/>
                    <w:adjustRightInd/>
                    <w:spacing w:line="24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自制花生、核桃、杏仁、榛子乳</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c>
                <w:tcPr>
                  <w:tcW w:w="1227" w:type="dxa"/>
                  <w:vAlign w:val="center"/>
                </w:tcPr>
                <w:p>
                  <w:pPr>
                    <w:autoSpaceDE/>
                    <w:autoSpaceDN/>
                    <w:adjustRightInd/>
                    <w:spacing w:line="360" w:lineRule="auto"/>
                    <w:jc w:val="center"/>
                    <w:rPr>
                      <w:rFonts w:hint="default" w:ascii="Times New Roman" w:hAnsi="Times New Roman" w:cs="Times New Roman"/>
                      <w:sz w:val="20"/>
                      <w:highlight w:val="none"/>
                    </w:rPr>
                  </w:pPr>
                  <w:r>
                    <w:rPr>
                      <w:rFonts w:hint="default" w:ascii="Times New Roman" w:hAnsi="Times New Roman" w:cs="Times New Roman"/>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433" w:type="dxa"/>
                  <w:vAlign w:val="center"/>
                </w:tcPr>
                <w:p>
                  <w:pPr>
                    <w:autoSpaceDE/>
                    <w:autoSpaceDN/>
                    <w:adjustRightInd/>
                    <w:spacing w:line="24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lang w:val="en-US" w:eastAsia="zh-CN"/>
                    </w:rPr>
                    <w:t>自制大豆、核桃、榛子、花生、椰汁饮料</w:t>
                  </w:r>
                </w:p>
              </w:tc>
              <w:tc>
                <w:tcPr>
                  <w:tcW w:w="1224" w:type="dxa"/>
                  <w:vAlign w:val="center"/>
                </w:tcPr>
                <w:p>
                  <w:pPr>
                    <w:autoSpaceDE/>
                    <w:autoSpaceDN/>
                    <w:adjustRightInd/>
                    <w:spacing w:line="36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lang w:val="en-US" w:eastAsia="zh-CN"/>
                    </w:rPr>
                    <w:t>+</w:t>
                  </w:r>
                </w:p>
              </w:tc>
              <w:tc>
                <w:tcPr>
                  <w:tcW w:w="1224" w:type="dxa"/>
                  <w:vAlign w:val="center"/>
                </w:tcPr>
                <w:p>
                  <w:pPr>
                    <w:autoSpaceDE/>
                    <w:autoSpaceDN/>
                    <w:adjustRightInd/>
                    <w:spacing w:line="36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lang w:val="en-US" w:eastAsia="zh-CN"/>
                    </w:rPr>
                    <w:t>+</w:t>
                  </w:r>
                </w:p>
              </w:tc>
              <w:tc>
                <w:tcPr>
                  <w:tcW w:w="1224" w:type="dxa"/>
                  <w:vAlign w:val="center"/>
                </w:tcPr>
                <w:p>
                  <w:pPr>
                    <w:autoSpaceDE/>
                    <w:autoSpaceDN/>
                    <w:adjustRightInd/>
                    <w:spacing w:line="36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lang w:val="en-US" w:eastAsia="zh-CN"/>
                    </w:rPr>
                    <w:t>+</w:t>
                  </w:r>
                </w:p>
              </w:tc>
              <w:tc>
                <w:tcPr>
                  <w:tcW w:w="1224" w:type="dxa"/>
                  <w:vAlign w:val="center"/>
                </w:tcPr>
                <w:p>
                  <w:pPr>
                    <w:autoSpaceDE/>
                    <w:autoSpaceDN/>
                    <w:adjustRightInd/>
                    <w:spacing w:line="36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lang w:val="en-US" w:eastAsia="zh-CN"/>
                    </w:rPr>
                    <w:t>+</w:t>
                  </w:r>
                </w:p>
              </w:tc>
              <w:tc>
                <w:tcPr>
                  <w:tcW w:w="1224" w:type="dxa"/>
                  <w:vAlign w:val="center"/>
                </w:tcPr>
                <w:p>
                  <w:pPr>
                    <w:autoSpaceDE/>
                    <w:autoSpaceDN/>
                    <w:adjustRightInd/>
                    <w:spacing w:line="36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rPr>
                    <w:t>-</w:t>
                  </w:r>
                </w:p>
              </w:tc>
              <w:tc>
                <w:tcPr>
                  <w:tcW w:w="1227" w:type="dxa"/>
                  <w:vAlign w:val="center"/>
                </w:tcPr>
                <w:p>
                  <w:pPr>
                    <w:autoSpaceDE/>
                    <w:autoSpaceDN/>
                    <w:adjustRightInd/>
                    <w:spacing w:line="360" w:lineRule="auto"/>
                    <w:jc w:val="center"/>
                    <w:rPr>
                      <w:rFonts w:hint="default" w:ascii="Times New Roman" w:hAnsi="Times New Roman" w:eastAsia="仿宋_GB2312" w:cs="Times New Roman"/>
                      <w:sz w:val="20"/>
                      <w:highlight w:val="none"/>
                      <w:lang w:val="en-US" w:eastAsia="zh-CN"/>
                    </w:rPr>
                  </w:pPr>
                  <w:r>
                    <w:rPr>
                      <w:rFonts w:hint="default" w:ascii="Times New Roman" w:hAnsi="Times New Roman" w:cs="Times New Roman"/>
                      <w:sz w:val="20"/>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433" w:type="dxa"/>
                  <w:vAlign w:val="center"/>
                </w:tcPr>
                <w:p>
                  <w:pPr>
                    <w:autoSpaceDE/>
                    <w:autoSpaceDN/>
                    <w:adjustRightInd/>
                    <w:spacing w:line="240" w:lineRule="auto"/>
                    <w:jc w:val="center"/>
                    <w:rPr>
                      <w:rFonts w:hint="default" w:ascii="Times New Roman" w:hAnsi="Times New Roman" w:cs="Times New Roman"/>
                      <w:sz w:val="20"/>
                      <w:highlight w:val="none"/>
                      <w:lang w:val="en-US" w:eastAsia="zh-CN"/>
                    </w:rPr>
                  </w:pPr>
                  <w:r>
                    <w:rPr>
                      <w:rFonts w:hint="default" w:ascii="Times New Roman" w:hAnsi="Times New Roman" w:cs="Times New Roman"/>
                      <w:sz w:val="20"/>
                      <w:highlight w:val="none"/>
                      <w:lang w:val="en-US" w:eastAsia="zh-CN"/>
                    </w:rPr>
                    <w:t>自制大豆、核桃、榛子、花生、杏仁、椰汁饮料</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lang w:val="en-US" w:eastAsia="zh-CN"/>
                    </w:rPr>
                  </w:pPr>
                  <w:r>
                    <w:rPr>
                      <w:rFonts w:hint="default" w:ascii="Times New Roman" w:hAnsi="Times New Roman" w:cs="Times New Roman"/>
                      <w:sz w:val="20"/>
                      <w:highlight w:val="none"/>
                      <w:lang w:val="en-US" w:eastAsia="zh-CN"/>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lang w:val="en-US" w:eastAsia="zh-CN"/>
                    </w:rPr>
                  </w:pPr>
                  <w:r>
                    <w:rPr>
                      <w:rFonts w:hint="default" w:ascii="Times New Roman" w:hAnsi="Times New Roman" w:cs="Times New Roman"/>
                      <w:sz w:val="20"/>
                      <w:highlight w:val="none"/>
                      <w:lang w:val="en-US" w:eastAsia="zh-CN"/>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lang w:val="en-US" w:eastAsia="zh-CN"/>
                    </w:rPr>
                  </w:pPr>
                  <w:r>
                    <w:rPr>
                      <w:rFonts w:hint="default" w:ascii="Times New Roman" w:hAnsi="Times New Roman" w:cs="Times New Roman"/>
                      <w:sz w:val="20"/>
                      <w:highlight w:val="none"/>
                      <w:lang w:val="en-US" w:eastAsia="zh-CN"/>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lang w:val="en-US" w:eastAsia="zh-CN"/>
                    </w:rPr>
                  </w:pPr>
                  <w:r>
                    <w:rPr>
                      <w:rFonts w:hint="default" w:ascii="Times New Roman" w:hAnsi="Times New Roman" w:cs="Times New Roman"/>
                      <w:sz w:val="20"/>
                      <w:highlight w:val="none"/>
                      <w:lang w:val="en-US" w:eastAsia="zh-CN"/>
                    </w:rPr>
                    <w:t>+</w:t>
                  </w:r>
                </w:p>
              </w:tc>
              <w:tc>
                <w:tcPr>
                  <w:tcW w:w="1224" w:type="dxa"/>
                  <w:vAlign w:val="center"/>
                </w:tcPr>
                <w:p>
                  <w:pPr>
                    <w:autoSpaceDE/>
                    <w:autoSpaceDN/>
                    <w:adjustRightInd/>
                    <w:spacing w:line="360" w:lineRule="auto"/>
                    <w:jc w:val="center"/>
                    <w:rPr>
                      <w:rFonts w:hint="default" w:ascii="Times New Roman" w:hAnsi="Times New Roman" w:cs="Times New Roman"/>
                      <w:sz w:val="20"/>
                      <w:highlight w:val="none"/>
                      <w:lang w:val="en-US" w:eastAsia="zh-CN"/>
                    </w:rPr>
                  </w:pPr>
                  <w:r>
                    <w:rPr>
                      <w:rFonts w:hint="default" w:ascii="Times New Roman" w:hAnsi="Times New Roman" w:cs="Times New Roman"/>
                      <w:sz w:val="20"/>
                      <w:highlight w:val="none"/>
                      <w:lang w:val="en-US" w:eastAsia="zh-CN"/>
                    </w:rPr>
                    <w:t>+</w:t>
                  </w:r>
                </w:p>
              </w:tc>
              <w:tc>
                <w:tcPr>
                  <w:tcW w:w="1227" w:type="dxa"/>
                  <w:vAlign w:val="center"/>
                </w:tcPr>
                <w:p>
                  <w:pPr>
                    <w:autoSpaceDE/>
                    <w:autoSpaceDN/>
                    <w:adjustRightInd/>
                    <w:spacing w:line="360" w:lineRule="auto"/>
                    <w:jc w:val="center"/>
                    <w:rPr>
                      <w:rFonts w:hint="default" w:ascii="Times New Roman" w:hAnsi="Times New Roman" w:cs="Times New Roman"/>
                      <w:sz w:val="20"/>
                      <w:highlight w:val="none"/>
                      <w:lang w:val="en-US" w:eastAsia="zh-CN"/>
                    </w:rPr>
                  </w:pPr>
                  <w:r>
                    <w:rPr>
                      <w:rFonts w:hint="default" w:ascii="Times New Roman" w:hAnsi="Times New Roman" w:cs="Times New Roman"/>
                      <w:sz w:val="20"/>
                      <w:highlight w:val="none"/>
                      <w:lang w:val="en-US" w:eastAsia="zh-CN"/>
                    </w:rPr>
                    <w:t>+</w:t>
                  </w:r>
                </w:p>
              </w:tc>
            </w:tr>
          </w:tbl>
          <w:p>
            <w:pPr>
              <w:autoSpaceDE/>
              <w:autoSpaceDN/>
              <w:spacing w:line="360" w:lineRule="auto"/>
              <w:jc w:val="both"/>
              <w:rPr>
                <w:rFonts w:hint="default" w:ascii="Times New Roman" w:hAnsi="Times New Roman" w:eastAsia="黑体" w:cs="Times New Roman"/>
                <w:sz w:val="21"/>
                <w:szCs w:val="21"/>
                <w:highlight w:val="none"/>
              </w:rPr>
            </w:pPr>
          </w:p>
          <w:p>
            <w:pPr>
              <w:autoSpaceDE/>
              <w:autoSpaceDN/>
              <w:spacing w:line="360" w:lineRule="auto"/>
              <w:ind w:firstLine="420" w:firstLineChars="200"/>
              <w:jc w:val="center"/>
              <w:rPr>
                <w:rFonts w:hint="default" w:ascii="Times New Roman" w:hAnsi="Times New Roman" w:eastAsia="黑体" w:cs="Times New Roman"/>
                <w:sz w:val="21"/>
                <w:szCs w:val="21"/>
                <w:highlight w:val="none"/>
              </w:rPr>
            </w:pPr>
            <w:r>
              <w:rPr>
                <w:rFonts w:hint="default" w:ascii="Times New Roman" w:hAnsi="Times New Roman" w:eastAsia="黑体" w:cs="Times New Roman"/>
                <w:sz w:val="21"/>
                <w:szCs w:val="21"/>
                <w:highlight w:val="none"/>
              </w:rPr>
              <w:t>表8 植物蛋白饮料样品参考方法的检测结果</w:t>
            </w:r>
          </w:p>
          <w:tbl>
            <w:tblPr>
              <w:tblStyle w:val="7"/>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1181"/>
              <w:gridCol w:w="1181"/>
              <w:gridCol w:w="1181"/>
              <w:gridCol w:w="1181"/>
              <w:gridCol w:w="1181"/>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552"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样品名称</w:t>
                  </w:r>
                </w:p>
              </w:tc>
              <w:tc>
                <w:tcPr>
                  <w:tcW w:w="1181"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大豆源性成分（qPCR）</w:t>
                  </w:r>
                </w:p>
              </w:tc>
              <w:tc>
                <w:tcPr>
                  <w:tcW w:w="1181"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核桃源性成分（qPCR）</w:t>
                  </w:r>
                </w:p>
              </w:tc>
              <w:tc>
                <w:tcPr>
                  <w:tcW w:w="1181"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榛子源性成分（qPCR）</w:t>
                  </w:r>
                </w:p>
              </w:tc>
              <w:tc>
                <w:tcPr>
                  <w:tcW w:w="1181"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花生源性成分（qPCR）</w:t>
                  </w:r>
                </w:p>
              </w:tc>
              <w:tc>
                <w:tcPr>
                  <w:tcW w:w="1181"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杏仁源性成分（qPCR）</w:t>
                  </w:r>
                </w:p>
              </w:tc>
              <w:tc>
                <w:tcPr>
                  <w:tcW w:w="1183"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椰子源性成分（LAMP）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豆奶1</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豆奶2</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豆奶</w:t>
                  </w:r>
                  <w:r>
                    <w:rPr>
                      <w:rFonts w:hint="default" w:ascii="Times New Roman" w:hAnsi="Times New Roman" w:cs="Times New Roman"/>
                      <w:sz w:val="18"/>
                      <w:szCs w:val="18"/>
                      <w:highlight w:val="none"/>
                      <w:lang w:val="en-US" w:eastAsia="zh-CN"/>
                    </w:rPr>
                    <w:t>3</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52" w:type="dxa"/>
                  <w:vAlign w:val="center"/>
                </w:tcPr>
                <w:p>
                  <w:pPr>
                    <w:autoSpaceDE/>
                    <w:autoSpaceDN/>
                    <w:adjustRightInd/>
                    <w:spacing w:line="240" w:lineRule="auto"/>
                    <w:jc w:val="center"/>
                    <w:rPr>
                      <w:rFonts w:hint="default" w:ascii="Times New Roman" w:hAnsi="Times New Roman" w:eastAsia="仿宋_GB2312" w:cs="Times New Roman"/>
                      <w:sz w:val="18"/>
                      <w:szCs w:val="18"/>
                      <w:highlight w:val="none"/>
                      <w:lang w:val="en-US" w:eastAsia="zh-CN"/>
                    </w:rPr>
                  </w:pPr>
                  <w:r>
                    <w:rPr>
                      <w:rFonts w:hint="default" w:ascii="Times New Roman" w:hAnsi="Times New Roman" w:cs="Times New Roman"/>
                      <w:sz w:val="18"/>
                      <w:szCs w:val="18"/>
                      <w:highlight w:val="none"/>
                    </w:rPr>
                    <w:t>豆奶</w:t>
                  </w:r>
                  <w:r>
                    <w:rPr>
                      <w:rFonts w:hint="default" w:ascii="Times New Roman" w:hAnsi="Times New Roman" w:cs="Times New Roman"/>
                      <w:sz w:val="18"/>
                      <w:szCs w:val="18"/>
                      <w:highlight w:val="none"/>
                      <w:lang w:val="en-US" w:eastAsia="zh-CN"/>
                    </w:rPr>
                    <w:t>4</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豆浆</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自制大豆椰奶</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榛子乳</w:t>
                  </w:r>
                  <w:r>
                    <w:rPr>
                      <w:rFonts w:hint="default" w:ascii="Times New Roman" w:hAnsi="Times New Roman" w:cs="Times New Roman"/>
                      <w:sz w:val="18"/>
                      <w:szCs w:val="18"/>
                      <w:highlight w:val="none"/>
                      <w:lang w:val="en-US" w:eastAsia="zh-CN"/>
                    </w:rPr>
                    <w:t>1</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榛子乳</w:t>
                  </w:r>
                  <w:r>
                    <w:rPr>
                      <w:rFonts w:hint="default" w:ascii="Times New Roman" w:hAnsi="Times New Roman" w:cs="Times New Roman"/>
                      <w:sz w:val="18"/>
                      <w:szCs w:val="18"/>
                      <w:highlight w:val="none"/>
                      <w:lang w:val="en-US" w:eastAsia="zh-CN"/>
                    </w:rPr>
                    <w:t>2</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自制榛子乳</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大豆榛子乳</w:t>
                  </w:r>
                  <w:r>
                    <w:rPr>
                      <w:rFonts w:hint="default" w:ascii="Times New Roman" w:hAnsi="Times New Roman" w:cs="Times New Roman"/>
                      <w:sz w:val="18"/>
                      <w:szCs w:val="18"/>
                      <w:highlight w:val="none"/>
                      <w:lang w:val="en-US" w:eastAsia="zh-CN"/>
                    </w:rPr>
                    <w:t>1</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大豆榛子乳</w:t>
                  </w:r>
                  <w:r>
                    <w:rPr>
                      <w:rFonts w:hint="default" w:ascii="Times New Roman" w:hAnsi="Times New Roman" w:cs="Times New Roman"/>
                      <w:sz w:val="18"/>
                      <w:szCs w:val="18"/>
                      <w:highlight w:val="none"/>
                      <w:lang w:val="en-US" w:eastAsia="zh-CN"/>
                    </w:rPr>
                    <w:t>2</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核桃乳</w:t>
                  </w:r>
                  <w:r>
                    <w:rPr>
                      <w:rFonts w:hint="default" w:ascii="Times New Roman" w:hAnsi="Times New Roman" w:cs="Times New Roman"/>
                      <w:sz w:val="18"/>
                      <w:szCs w:val="18"/>
                      <w:highlight w:val="none"/>
                      <w:lang w:val="en-US" w:eastAsia="zh-CN"/>
                    </w:rPr>
                    <w:t>1</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核桃乳</w:t>
                  </w:r>
                  <w:r>
                    <w:rPr>
                      <w:rFonts w:hint="default" w:ascii="Times New Roman" w:hAnsi="Times New Roman" w:cs="Times New Roman"/>
                      <w:sz w:val="18"/>
                      <w:szCs w:val="18"/>
                      <w:highlight w:val="none"/>
                      <w:lang w:val="en-US" w:eastAsia="zh-CN"/>
                    </w:rPr>
                    <w:t>2</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自制核桃乳</w:t>
                  </w:r>
                  <w:r>
                    <w:rPr>
                      <w:rFonts w:hint="default" w:ascii="Times New Roman" w:hAnsi="Times New Roman" w:cs="Times New Roman"/>
                      <w:sz w:val="18"/>
                      <w:szCs w:val="18"/>
                      <w:highlight w:val="none"/>
                      <w:lang w:val="en-US" w:eastAsia="zh-CN"/>
                    </w:rPr>
                    <w:t>1</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自制核桃乳</w:t>
                  </w:r>
                  <w:r>
                    <w:rPr>
                      <w:rFonts w:hint="default" w:ascii="Times New Roman" w:hAnsi="Times New Roman" w:cs="Times New Roman"/>
                      <w:sz w:val="18"/>
                      <w:szCs w:val="18"/>
                      <w:highlight w:val="none"/>
                      <w:lang w:val="en-US" w:eastAsia="zh-CN"/>
                    </w:rPr>
                    <w:t>2</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核桃牛奶</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花生芝麻牛奶</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花生乳</w:t>
                  </w:r>
                  <w:r>
                    <w:rPr>
                      <w:rFonts w:hint="default" w:ascii="Times New Roman" w:hAnsi="Times New Roman" w:cs="Times New Roman"/>
                      <w:sz w:val="18"/>
                      <w:szCs w:val="18"/>
                      <w:highlight w:val="none"/>
                      <w:lang w:val="en-US" w:eastAsia="zh-CN"/>
                    </w:rPr>
                    <w:t>1</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花生乳</w:t>
                  </w:r>
                  <w:r>
                    <w:rPr>
                      <w:rFonts w:hint="default" w:ascii="Times New Roman" w:hAnsi="Times New Roman" w:cs="Times New Roman"/>
                      <w:sz w:val="18"/>
                      <w:szCs w:val="18"/>
                      <w:highlight w:val="none"/>
                      <w:lang w:val="en-US" w:eastAsia="zh-CN"/>
                    </w:rPr>
                    <w:t>2</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花生牛奶</w:t>
                  </w:r>
                  <w:r>
                    <w:rPr>
                      <w:rFonts w:hint="default" w:ascii="Times New Roman" w:hAnsi="Times New Roman" w:cs="Times New Roman"/>
                      <w:sz w:val="18"/>
                      <w:szCs w:val="18"/>
                      <w:highlight w:val="none"/>
                      <w:lang w:val="en-US" w:eastAsia="zh-CN"/>
                    </w:rPr>
                    <w:t>1</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花生牛奶</w:t>
                  </w:r>
                  <w:r>
                    <w:rPr>
                      <w:rFonts w:hint="default" w:ascii="Times New Roman" w:hAnsi="Times New Roman" w:cs="Times New Roman"/>
                      <w:sz w:val="18"/>
                      <w:szCs w:val="18"/>
                      <w:highlight w:val="none"/>
                      <w:lang w:val="en-US" w:eastAsia="zh-CN"/>
                    </w:rPr>
                    <w:t>2</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自制花生乳</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杏仁露</w:t>
                  </w:r>
                  <w:r>
                    <w:rPr>
                      <w:rFonts w:hint="default" w:ascii="Times New Roman" w:hAnsi="Times New Roman" w:cs="Times New Roman"/>
                      <w:sz w:val="18"/>
                      <w:szCs w:val="18"/>
                      <w:highlight w:val="none"/>
                      <w:lang w:val="en-US" w:eastAsia="zh-CN"/>
                    </w:rPr>
                    <w:t>1</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杏仁露</w:t>
                  </w:r>
                  <w:r>
                    <w:rPr>
                      <w:rFonts w:hint="default" w:ascii="Times New Roman" w:hAnsi="Times New Roman" w:cs="Times New Roman"/>
                      <w:sz w:val="18"/>
                      <w:szCs w:val="18"/>
                      <w:highlight w:val="none"/>
                      <w:lang w:val="en-US" w:eastAsia="zh-CN"/>
                    </w:rPr>
                    <w:t>2</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自制杏仁露</w:t>
                  </w:r>
                  <w:r>
                    <w:rPr>
                      <w:rFonts w:hint="default" w:ascii="Times New Roman" w:hAnsi="Times New Roman" w:cs="Times New Roman"/>
                      <w:sz w:val="18"/>
                      <w:szCs w:val="18"/>
                      <w:highlight w:val="none"/>
                      <w:lang w:val="en-US" w:eastAsia="zh-CN"/>
                    </w:rPr>
                    <w:t>1</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自制杏仁露</w:t>
                  </w:r>
                  <w:r>
                    <w:rPr>
                      <w:rFonts w:hint="default" w:ascii="Times New Roman" w:hAnsi="Times New Roman" w:cs="Times New Roman"/>
                      <w:sz w:val="18"/>
                      <w:szCs w:val="18"/>
                      <w:highlight w:val="none"/>
                      <w:lang w:val="en-US" w:eastAsia="zh-CN"/>
                    </w:rPr>
                    <w:t>2</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椰子汁1</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椰子汁2</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椰奶</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椰汁饮料</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椰子水饮料</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花生核桃乳</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自制大豆椰子乳</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自制花生、核桃、杏仁、榛子乳</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自制大豆、核桃、榛子、花生、椰汁饮料</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552" w:type="dxa"/>
                  <w:vAlign w:val="center"/>
                </w:tcPr>
                <w:p>
                  <w:pPr>
                    <w:autoSpaceDE/>
                    <w:autoSpaceDN/>
                    <w:adjustRightInd/>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自制大豆、核桃、榛子、花生、杏仁、椰汁饮料</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c>
                <w:tcPr>
                  <w:tcW w:w="1181"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c>
                <w:tcPr>
                  <w:tcW w:w="1183" w:type="dxa"/>
                  <w:vAlign w:val="center"/>
                </w:tcPr>
                <w:p>
                  <w:pPr>
                    <w:autoSpaceDE/>
                    <w:autoSpaceDN/>
                    <w:adjustRightInd/>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r>
          </w:tbl>
          <w:p>
            <w:pPr>
              <w:autoSpaceDE/>
              <w:autoSpaceDN/>
              <w:spacing w:line="360" w:lineRule="auto"/>
              <w:rPr>
                <w:rFonts w:hint="default" w:ascii="Times New Roman" w:hAnsi="Times New Roman" w:cs="Times New Roman"/>
                <w:b/>
                <w:bCs/>
                <w:szCs w:val="32"/>
                <w:highlight w:val="none"/>
              </w:rPr>
            </w:pPr>
          </w:p>
          <w:p>
            <w:pPr>
              <w:autoSpaceDE/>
              <w:autoSpaceDN/>
              <w:spacing w:line="360" w:lineRule="auto"/>
              <w:ind w:firstLine="420" w:firstLineChars="200"/>
              <w:jc w:val="left"/>
              <w:rPr>
                <w:rFonts w:hint="default" w:ascii="Times New Roman" w:hAnsi="Times New Roman" w:eastAsia="宋体" w:cs="Times New Roman"/>
                <w:color w:val="000000"/>
                <w:szCs w:val="24"/>
                <w:highlight w:val="none"/>
              </w:rPr>
            </w:pPr>
            <w:r>
              <w:rPr>
                <w:rFonts w:hint="default" w:ascii="Times New Roman" w:hAnsi="Times New Roman" w:eastAsia="宋体" w:cs="Times New Roman"/>
                <w:color w:val="000000"/>
                <w:szCs w:val="24"/>
                <w:highlight w:val="none"/>
              </w:rPr>
              <w:t>同时，本标准方法由4家食品检验机构对微流控检测芯片进行特异性、灵敏度、稳定性及实际样品的验证，采用25种常见物种（大豆、核桃、榛子、花生、杏仁、椰子、芝麻、绿豆、小米、燕麦、白眉豆、碧根果、巴旦木、夏威夷果、西瓜籽、板栗、赤小豆、薏米、无花果、红枣、玉米、松子、葵花籽、开心果、荞麦）进行特异性检</w:t>
            </w:r>
            <w:r>
              <w:rPr>
                <w:rFonts w:hint="default" w:ascii="Times New Roman" w:hAnsi="Times New Roman" w:eastAsia="宋体" w:cs="Times New Roman"/>
                <w:color w:val="000000"/>
                <w:szCs w:val="24"/>
                <w:highlight w:val="none"/>
                <w:lang w:eastAsia="zh-CN"/>
              </w:rPr>
              <w:t>，</w:t>
            </w:r>
            <w:r>
              <w:rPr>
                <w:rFonts w:hint="default" w:ascii="Times New Roman" w:hAnsi="Times New Roman" w:eastAsia="宋体" w:cs="Times New Roman"/>
                <w:color w:val="000000"/>
                <w:szCs w:val="24"/>
                <w:highlight w:val="none"/>
                <w:lang w:val="en-US" w:eastAsia="zh-CN"/>
              </w:rPr>
              <w:t>证实本方法具有良好的特异性。</w:t>
            </w:r>
            <w:r>
              <w:rPr>
                <w:rFonts w:hint="default" w:ascii="Times New Roman" w:hAnsi="Times New Roman" w:eastAsia="宋体" w:cs="Times New Roman"/>
                <w:color w:val="000000"/>
                <w:szCs w:val="24"/>
                <w:highlight w:val="none"/>
              </w:rPr>
              <w:t>对不同质量浓度的饮料进行灵敏度检测，</w:t>
            </w:r>
            <w:r>
              <w:rPr>
                <w:rFonts w:hint="default" w:ascii="Times New Roman" w:hAnsi="Times New Roman" w:eastAsia="宋体" w:cs="Times New Roman"/>
                <w:color w:val="000000"/>
                <w:szCs w:val="24"/>
                <w:highlight w:val="none"/>
                <w:lang w:val="en-US" w:eastAsia="zh-CN"/>
              </w:rPr>
              <w:t>证实</w:t>
            </w:r>
            <w:r>
              <w:rPr>
                <w:rFonts w:hint="default" w:ascii="Times New Roman" w:hAnsi="Times New Roman" w:eastAsia="宋体" w:cs="Times New Roman"/>
                <w:color w:val="000000"/>
                <w:szCs w:val="24"/>
                <w:highlight w:val="none"/>
              </w:rPr>
              <w:t>微流控检测芯片中大豆、榛子、花生、杏仁、椰子饮料检测灵敏度为0.1%</w:t>
            </w:r>
            <w:r>
              <w:rPr>
                <w:rFonts w:hint="default" w:ascii="Times New Roman" w:hAnsi="Times New Roman" w:eastAsia="宋体" w:cs="Times New Roman"/>
                <w:color w:val="000000"/>
                <w:szCs w:val="24"/>
                <w:highlight w:val="none"/>
                <w:lang w:eastAsia="zh-CN"/>
              </w:rPr>
              <w:t>（</w:t>
            </w:r>
            <w:r>
              <w:rPr>
                <w:rFonts w:hint="default" w:ascii="Times New Roman" w:hAnsi="Times New Roman" w:eastAsia="宋体" w:cs="Times New Roman"/>
                <w:color w:val="000000"/>
                <w:szCs w:val="24"/>
                <w:highlight w:val="none"/>
                <w:lang w:val="en-US" w:eastAsia="zh-CN"/>
              </w:rPr>
              <w:t>g/100 mL</w:t>
            </w:r>
            <w:r>
              <w:rPr>
                <w:rFonts w:hint="default" w:ascii="Times New Roman" w:hAnsi="Times New Roman" w:eastAsia="宋体" w:cs="Times New Roman"/>
                <w:color w:val="000000"/>
                <w:szCs w:val="24"/>
                <w:highlight w:val="none"/>
                <w:lang w:eastAsia="zh-CN"/>
              </w:rPr>
              <w:t>）</w:t>
            </w:r>
            <w:r>
              <w:rPr>
                <w:rFonts w:hint="default" w:ascii="Times New Roman" w:hAnsi="Times New Roman" w:eastAsia="宋体" w:cs="Times New Roman"/>
                <w:color w:val="000000"/>
                <w:szCs w:val="24"/>
                <w:highlight w:val="none"/>
              </w:rPr>
              <w:t>，核桃饮料检测灵敏度为0.05%</w:t>
            </w:r>
            <w:r>
              <w:rPr>
                <w:rFonts w:hint="default" w:ascii="Times New Roman" w:hAnsi="Times New Roman" w:eastAsia="宋体" w:cs="Times New Roman"/>
                <w:color w:val="000000"/>
                <w:szCs w:val="24"/>
                <w:highlight w:val="none"/>
                <w:lang w:eastAsia="zh-CN"/>
              </w:rPr>
              <w:t>（</w:t>
            </w:r>
            <w:r>
              <w:rPr>
                <w:rFonts w:hint="default" w:ascii="Times New Roman" w:hAnsi="Times New Roman" w:eastAsia="宋体" w:cs="Times New Roman"/>
                <w:color w:val="000000"/>
                <w:szCs w:val="24"/>
                <w:highlight w:val="none"/>
                <w:lang w:val="en-US" w:eastAsia="zh-CN"/>
              </w:rPr>
              <w:t>g/100 mL</w:t>
            </w:r>
            <w:r>
              <w:rPr>
                <w:rFonts w:hint="default" w:ascii="Times New Roman" w:hAnsi="Times New Roman" w:eastAsia="宋体" w:cs="Times New Roman"/>
                <w:color w:val="000000"/>
                <w:szCs w:val="24"/>
                <w:highlight w:val="none"/>
                <w:lang w:eastAsia="zh-CN"/>
              </w:rPr>
              <w:t>）。</w:t>
            </w:r>
            <w:r>
              <w:rPr>
                <w:rFonts w:hint="default" w:ascii="Times New Roman" w:hAnsi="Times New Roman" w:eastAsia="宋体" w:cs="Times New Roman"/>
                <w:color w:val="000000"/>
                <w:szCs w:val="24"/>
                <w:highlight w:val="none"/>
              </w:rPr>
              <w:t>共对56批植物蛋白饮料样品进行检测，同时以BJS2017《植物蛋白饮料中植物源性成分鉴定》进行平行检测，椰子源性成分则采用LAMP检测方法，验证6种植物源性成分检测芯片的实际样品检测结果与参考方法的符合性，</w:t>
            </w:r>
            <w:r>
              <w:rPr>
                <w:rFonts w:hint="default" w:ascii="Times New Roman" w:hAnsi="Times New Roman" w:eastAsia="宋体" w:cs="Times New Roman"/>
                <w:color w:val="000000"/>
                <w:szCs w:val="24"/>
                <w:highlight w:val="none"/>
                <w:lang w:val="en-US" w:eastAsia="zh-CN"/>
              </w:rPr>
              <w:t>结果证实</w:t>
            </w:r>
            <w:r>
              <w:rPr>
                <w:rFonts w:hint="default" w:ascii="Times New Roman" w:hAnsi="Times New Roman" w:eastAsia="宋体" w:cs="Times New Roman"/>
                <w:color w:val="000000"/>
                <w:szCs w:val="24"/>
                <w:highlight w:val="none"/>
              </w:rPr>
              <w:t>100%符合。</w:t>
            </w:r>
          </w:p>
          <w:p>
            <w:pPr>
              <w:keepNext w:val="0"/>
              <w:keepLines w:val="0"/>
              <w:pageBreakBefore w:val="0"/>
              <w:numPr>
                <w:ilvl w:val="0"/>
                <w:numId w:val="1"/>
              </w:numPr>
              <w:kinsoku/>
              <w:wordWrap/>
              <w:overflowPunct/>
              <w:topLinePunct w:val="0"/>
              <w:bidi w:val="0"/>
              <w:spacing w:line="440" w:lineRule="exact"/>
              <w:rPr>
                <w:rFonts w:hint="default" w:ascii="Times New Roman" w:hAnsi="Times New Roman" w:eastAsia="黑体" w:cs="Times New Roman"/>
                <w:b/>
                <w:bCs/>
                <w:color w:val="000000"/>
                <w:sz w:val="21"/>
                <w:szCs w:val="21"/>
                <w:lang w:val="en-US" w:eastAsia="zh-CN"/>
              </w:rPr>
            </w:pPr>
            <w:r>
              <w:rPr>
                <w:rFonts w:hint="eastAsia" w:ascii="Times New Roman" w:hAnsi="Times New Roman" w:eastAsia="黑体" w:cs="Times New Roman"/>
                <w:b/>
                <w:bCs/>
                <w:color w:val="000000"/>
                <w:sz w:val="21"/>
                <w:szCs w:val="21"/>
                <w:lang w:val="en-US" w:eastAsia="zh-CN"/>
              </w:rPr>
              <w:t>征求意见处理结果</w:t>
            </w:r>
          </w:p>
          <w:p>
            <w:pPr>
              <w:autoSpaceDE/>
              <w:autoSpaceDN/>
              <w:spacing w:line="360" w:lineRule="auto"/>
              <w:ind w:firstLine="420" w:firstLineChars="200"/>
              <w:jc w:val="left"/>
              <w:rPr>
                <w:rFonts w:hint="default" w:ascii="Times New Roman" w:hAnsi="Times New Roman" w:eastAsia="宋体" w:cs="Times New Roman"/>
                <w:color w:val="000000"/>
                <w:szCs w:val="24"/>
                <w:highlight w:val="none"/>
                <w:lang w:val="en-US" w:eastAsia="zh-CN"/>
              </w:rPr>
            </w:pPr>
            <w:r>
              <w:rPr>
                <w:rFonts w:hint="eastAsia" w:ascii="Times New Roman" w:hAnsi="Times New Roman" w:eastAsia="宋体" w:cs="Times New Roman"/>
                <w:color w:val="000000"/>
                <w:szCs w:val="24"/>
                <w:highlight w:val="none"/>
                <w:lang w:val="en-US" w:eastAsia="zh-CN"/>
              </w:rPr>
              <w:t>标准</w:t>
            </w:r>
            <w:r>
              <w:rPr>
                <w:rFonts w:hint="default" w:ascii="Times New Roman" w:hAnsi="Times New Roman" w:eastAsia="宋体" w:cs="Times New Roman"/>
                <w:color w:val="000000"/>
                <w:szCs w:val="24"/>
                <w:highlight w:val="none"/>
                <w:lang w:val="en-US" w:eastAsia="zh-CN"/>
              </w:rPr>
              <w:t>起草工作组</w:t>
            </w:r>
            <w:r>
              <w:rPr>
                <w:rFonts w:hint="eastAsia" w:ascii="Times New Roman" w:hAnsi="Times New Roman" w:eastAsia="宋体" w:cs="Times New Roman"/>
                <w:color w:val="000000"/>
                <w:szCs w:val="24"/>
                <w:highlight w:val="none"/>
                <w:lang w:val="en-US" w:eastAsia="zh-CN"/>
              </w:rPr>
              <w:t>对标准文本和编制说明的征求意见稿进行充分交流，</w:t>
            </w:r>
            <w:r>
              <w:rPr>
                <w:rFonts w:hint="default" w:ascii="Times New Roman" w:hAnsi="Times New Roman" w:eastAsia="宋体" w:cs="Times New Roman"/>
                <w:color w:val="000000"/>
                <w:szCs w:val="24"/>
                <w:highlight w:val="none"/>
                <w:lang w:val="en-US" w:eastAsia="zh-CN"/>
              </w:rPr>
              <w:t>重点针对主要技术内容</w:t>
            </w:r>
            <w:r>
              <w:rPr>
                <w:rFonts w:hint="eastAsia" w:ascii="Times New Roman" w:hAnsi="Times New Roman" w:eastAsia="宋体" w:cs="Times New Roman"/>
                <w:color w:val="000000"/>
                <w:szCs w:val="24"/>
                <w:highlight w:val="none"/>
                <w:lang w:val="en-US" w:eastAsia="zh-CN"/>
              </w:rPr>
              <w:t>、</w:t>
            </w:r>
            <w:r>
              <w:rPr>
                <w:rFonts w:hint="default" w:ascii="Times New Roman" w:hAnsi="Times New Roman" w:eastAsia="宋体" w:cs="Times New Roman"/>
                <w:color w:val="000000"/>
                <w:szCs w:val="24"/>
                <w:highlight w:val="none"/>
                <w:lang w:val="en-US" w:eastAsia="zh-CN"/>
              </w:rPr>
              <w:t>指标设置</w:t>
            </w:r>
            <w:r>
              <w:rPr>
                <w:rFonts w:hint="eastAsia" w:ascii="Times New Roman" w:hAnsi="Times New Roman" w:eastAsia="宋体" w:cs="Times New Roman"/>
                <w:color w:val="000000"/>
                <w:szCs w:val="24"/>
                <w:highlight w:val="none"/>
                <w:lang w:val="en-US" w:eastAsia="zh-CN"/>
              </w:rPr>
              <w:t>、操作流程、图表内容、文字描述、格式</w:t>
            </w:r>
            <w:r>
              <w:rPr>
                <w:rFonts w:hint="default" w:ascii="Times New Roman" w:hAnsi="Times New Roman" w:eastAsia="宋体" w:cs="Times New Roman"/>
                <w:color w:val="000000"/>
                <w:szCs w:val="24"/>
                <w:highlight w:val="none"/>
                <w:lang w:val="en-US" w:eastAsia="zh-CN"/>
              </w:rPr>
              <w:t>进行充分讨论</w:t>
            </w:r>
            <w:r>
              <w:rPr>
                <w:rFonts w:hint="eastAsia" w:ascii="Times New Roman" w:hAnsi="Times New Roman" w:eastAsia="宋体" w:cs="Times New Roman"/>
                <w:color w:val="000000"/>
                <w:szCs w:val="24"/>
                <w:highlight w:val="none"/>
                <w:lang w:val="en-US" w:eastAsia="zh-CN"/>
              </w:rPr>
              <w:t>，</w:t>
            </w:r>
            <w:r>
              <w:rPr>
                <w:rFonts w:hint="default" w:ascii="Times New Roman" w:hAnsi="Times New Roman" w:eastAsia="宋体" w:cs="Times New Roman"/>
                <w:color w:val="000000"/>
                <w:szCs w:val="24"/>
                <w:highlight w:val="none"/>
                <w:lang w:val="en-US" w:eastAsia="zh-CN"/>
              </w:rPr>
              <w:t>基本</w:t>
            </w:r>
            <w:r>
              <w:rPr>
                <w:rFonts w:hint="eastAsia" w:ascii="Times New Roman" w:hAnsi="Times New Roman" w:eastAsia="宋体" w:cs="Times New Roman"/>
                <w:color w:val="000000"/>
                <w:szCs w:val="24"/>
                <w:highlight w:val="none"/>
                <w:lang w:val="en-US" w:eastAsia="zh-CN"/>
              </w:rPr>
              <w:t>采纳相关</w:t>
            </w:r>
            <w:r>
              <w:rPr>
                <w:rFonts w:hint="default" w:ascii="Times New Roman" w:hAnsi="Times New Roman" w:eastAsia="宋体" w:cs="Times New Roman"/>
                <w:color w:val="000000"/>
                <w:szCs w:val="24"/>
                <w:highlight w:val="none"/>
                <w:lang w:val="en-US" w:eastAsia="zh-CN"/>
              </w:rPr>
              <w:t>意见</w:t>
            </w:r>
            <w:r>
              <w:rPr>
                <w:rFonts w:hint="default" w:ascii="Times New Roman" w:hAnsi="Times New Roman" w:eastAsia="宋体" w:cs="Times New Roman"/>
                <w:color w:val="000000"/>
                <w:szCs w:val="24"/>
                <w:highlight w:val="none"/>
                <w:lang w:val="en-US" w:eastAsia="zh-Hans"/>
              </w:rPr>
              <w:t>，</w:t>
            </w:r>
            <w:r>
              <w:rPr>
                <w:rFonts w:hint="default" w:ascii="Times New Roman" w:hAnsi="Times New Roman" w:eastAsia="宋体" w:cs="Times New Roman"/>
                <w:color w:val="000000"/>
                <w:szCs w:val="24"/>
                <w:highlight w:val="none"/>
                <w:lang w:val="en-US" w:eastAsia="zh-CN"/>
              </w:rPr>
              <w:t>在此基础上，完善标准文本，形成了标准征求意见稿。</w:t>
            </w:r>
          </w:p>
          <w:p>
            <w:pPr>
              <w:keepNext w:val="0"/>
              <w:keepLines w:val="0"/>
              <w:pageBreakBefore w:val="0"/>
              <w:numPr>
                <w:ilvl w:val="0"/>
                <w:numId w:val="1"/>
              </w:numPr>
              <w:kinsoku/>
              <w:wordWrap/>
              <w:overflowPunct/>
              <w:topLinePunct w:val="0"/>
              <w:bidi w:val="0"/>
              <w:spacing w:line="440" w:lineRule="exact"/>
              <w:rPr>
                <w:rFonts w:hint="default" w:ascii="Times New Roman" w:hAnsi="Times New Roman" w:eastAsia="黑体" w:cs="Times New Roman"/>
                <w:b/>
                <w:bCs/>
                <w:color w:val="000000"/>
                <w:sz w:val="21"/>
                <w:szCs w:val="21"/>
                <w:lang w:val="en-US" w:eastAsia="zh-CN"/>
              </w:rPr>
            </w:pPr>
            <w:r>
              <w:rPr>
                <w:rFonts w:hint="eastAsia" w:ascii="Times New Roman" w:hAnsi="Times New Roman" w:eastAsia="黑体" w:cs="Times New Roman"/>
                <w:b/>
                <w:bCs/>
                <w:color w:val="000000"/>
                <w:sz w:val="21"/>
                <w:szCs w:val="21"/>
                <w:lang w:val="en-US" w:eastAsia="zh-CN"/>
              </w:rPr>
              <w:t>标准实施建议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kern w:val="2"/>
                <w:sz w:val="21"/>
                <w:szCs w:val="21"/>
                <w:highlight w:val="none"/>
                <w:lang w:val="en-US" w:eastAsia="zh-CN" w:bidi="ar"/>
              </w:rPr>
            </w:pPr>
            <w:r>
              <w:rPr>
                <w:rFonts w:hint="eastAsia" w:ascii="宋体" w:hAnsi="宋体" w:eastAsia="宋体" w:cs="宋体"/>
                <w:color w:val="000000"/>
                <w:kern w:val="2"/>
                <w:sz w:val="21"/>
                <w:szCs w:val="21"/>
                <w:highlight w:val="none"/>
                <w:lang w:val="en-US" w:eastAsia="zh-CN" w:bidi="ar"/>
              </w:rPr>
              <w:t>建议本标准批准发布 6 个月后实施</w:t>
            </w:r>
            <w:r>
              <w:rPr>
                <w:rFonts w:hint="eastAsia" w:ascii="宋体" w:hAnsi="宋体" w:cs="宋体"/>
                <w:color w:val="000000"/>
                <w:kern w:val="2"/>
                <w:sz w:val="21"/>
                <w:szCs w:val="21"/>
                <w:highlight w:val="none"/>
                <w:lang w:val="en-US" w:eastAsia="zh-CN" w:bidi="ar"/>
              </w:rPr>
              <w:t>。</w:t>
            </w:r>
          </w:p>
          <w:p>
            <w:pPr>
              <w:keepNext w:val="0"/>
              <w:keepLines w:val="0"/>
              <w:pageBreakBefore w:val="0"/>
              <w:numPr>
                <w:ilvl w:val="0"/>
                <w:numId w:val="1"/>
              </w:numPr>
              <w:kinsoku/>
              <w:wordWrap/>
              <w:overflowPunct/>
              <w:topLinePunct w:val="0"/>
              <w:bidi w:val="0"/>
              <w:spacing w:line="440" w:lineRule="exact"/>
              <w:rPr>
                <w:rFonts w:hint="default" w:ascii="Times New Roman" w:hAnsi="Times New Roman" w:eastAsia="黑体" w:cs="Times New Roman"/>
                <w:b/>
                <w:bCs/>
                <w:color w:val="000000"/>
                <w:sz w:val="21"/>
                <w:szCs w:val="21"/>
                <w:lang w:val="en-US" w:eastAsia="zh-CN"/>
              </w:rPr>
            </w:pPr>
            <w:r>
              <w:rPr>
                <w:rFonts w:hint="eastAsia" w:ascii="Times New Roman" w:hAnsi="Times New Roman" w:eastAsia="黑体" w:cs="Times New Roman"/>
                <w:b/>
                <w:bCs/>
                <w:color w:val="000000"/>
                <w:sz w:val="21"/>
                <w:szCs w:val="21"/>
                <w:lang w:val="en-US" w:eastAsia="zh-CN"/>
              </w:rPr>
              <w:t>其他需要说明的问题</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宋体" w:hAnsi="宋体" w:eastAsia="宋体" w:cs="宋体"/>
                <w:color w:val="000000"/>
                <w:kern w:val="2"/>
                <w:sz w:val="21"/>
                <w:szCs w:val="21"/>
                <w:highlight w:val="none"/>
                <w:lang w:val="en-US" w:eastAsia="zh-CN" w:bidi="ar"/>
              </w:rPr>
            </w:pPr>
            <w:r>
              <w:rPr>
                <w:rFonts w:hint="eastAsia" w:ascii="宋体" w:hAnsi="宋体" w:eastAsia="宋体" w:cs="宋体"/>
                <w:color w:val="000000"/>
                <w:kern w:val="2"/>
                <w:sz w:val="21"/>
                <w:szCs w:val="21"/>
                <w:highlight w:val="none"/>
                <w:lang w:val="en-US" w:eastAsia="zh-CN" w:bidi="ar"/>
              </w:rPr>
              <w:t>无。</w:t>
            </w:r>
          </w:p>
          <w:p>
            <w:pPr>
              <w:spacing w:line="276" w:lineRule="auto"/>
              <w:rPr>
                <w:rFonts w:hint="default" w:ascii="Times New Roman" w:hAnsi="Times New Roman" w:cs="Times New Roman"/>
                <w:color w:val="000000"/>
                <w:szCs w:val="18"/>
              </w:rPr>
            </w:pPr>
          </w:p>
        </w:tc>
      </w:tr>
    </w:tbl>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altName w:val="Arial Unicode MS"/>
    <w:panose1 w:val="02010601030101010101"/>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C189DA"/>
    <w:multiLevelType w:val="singleLevel"/>
    <w:tmpl w:val="AEC189DA"/>
    <w:lvl w:ilvl="0" w:tentative="0">
      <w:start w:val="4"/>
      <w:numFmt w:val="decimal"/>
      <w:suff w:val="nothing"/>
      <w:lvlText w:val="（%1）"/>
      <w:lvlJc w:val="left"/>
    </w:lvl>
  </w:abstractNum>
  <w:abstractNum w:abstractNumId="1">
    <w:nsid w:val="00000005"/>
    <w:multiLevelType w:val="multilevel"/>
    <w:tmpl w:val="00000005"/>
    <w:lvl w:ilvl="0" w:tentative="0">
      <w:start w:val="1"/>
      <w:numFmt w:val="japaneseCounting"/>
      <w:lvlText w:val="%1、"/>
      <w:lvlJc w:val="left"/>
      <w:pPr>
        <w:tabs>
          <w:tab w:val="left" w:pos="704"/>
        </w:tabs>
        <w:ind w:left="704" w:hanging="420"/>
      </w:pPr>
      <w:rPr>
        <w:rFonts w:hint="default" w:cs="Times New Roman"/>
        <w:b w:val="0"/>
      </w:rPr>
    </w:lvl>
    <w:lvl w:ilvl="1" w:tentative="0">
      <w:start w:val="1"/>
      <w:numFmt w:val="lowerLetter"/>
      <w:lvlText w:val="%2)"/>
      <w:lvlJc w:val="left"/>
      <w:pPr>
        <w:tabs>
          <w:tab w:val="left" w:pos="1124"/>
        </w:tabs>
        <w:ind w:left="1124" w:hanging="420"/>
      </w:pPr>
      <w:rPr>
        <w:rFonts w:cs="Times New Roman"/>
      </w:rPr>
    </w:lvl>
    <w:lvl w:ilvl="2" w:tentative="0">
      <w:start w:val="1"/>
      <w:numFmt w:val="lowerRoman"/>
      <w:lvlText w:val="%3."/>
      <w:lvlJc w:val="right"/>
      <w:pPr>
        <w:tabs>
          <w:tab w:val="left" w:pos="1544"/>
        </w:tabs>
        <w:ind w:left="1544" w:hanging="420"/>
      </w:pPr>
      <w:rPr>
        <w:rFonts w:cs="Times New Roman"/>
      </w:rPr>
    </w:lvl>
    <w:lvl w:ilvl="3" w:tentative="0">
      <w:start w:val="1"/>
      <w:numFmt w:val="decimal"/>
      <w:lvlText w:val="%4."/>
      <w:lvlJc w:val="left"/>
      <w:pPr>
        <w:tabs>
          <w:tab w:val="left" w:pos="1964"/>
        </w:tabs>
        <w:ind w:left="1964" w:hanging="420"/>
      </w:pPr>
      <w:rPr>
        <w:rFonts w:cs="Times New Roman"/>
      </w:rPr>
    </w:lvl>
    <w:lvl w:ilvl="4" w:tentative="0">
      <w:start w:val="1"/>
      <w:numFmt w:val="lowerLetter"/>
      <w:lvlText w:val="%5)"/>
      <w:lvlJc w:val="left"/>
      <w:pPr>
        <w:tabs>
          <w:tab w:val="left" w:pos="2384"/>
        </w:tabs>
        <w:ind w:left="2384" w:hanging="420"/>
      </w:pPr>
      <w:rPr>
        <w:rFonts w:cs="Times New Roman"/>
      </w:rPr>
    </w:lvl>
    <w:lvl w:ilvl="5" w:tentative="0">
      <w:start w:val="1"/>
      <w:numFmt w:val="lowerRoman"/>
      <w:lvlText w:val="%6."/>
      <w:lvlJc w:val="right"/>
      <w:pPr>
        <w:tabs>
          <w:tab w:val="left" w:pos="2804"/>
        </w:tabs>
        <w:ind w:left="2804" w:hanging="420"/>
      </w:pPr>
      <w:rPr>
        <w:rFonts w:cs="Times New Roman"/>
      </w:rPr>
    </w:lvl>
    <w:lvl w:ilvl="6" w:tentative="0">
      <w:start w:val="1"/>
      <w:numFmt w:val="decimal"/>
      <w:lvlText w:val="%7."/>
      <w:lvlJc w:val="left"/>
      <w:pPr>
        <w:tabs>
          <w:tab w:val="left" w:pos="3224"/>
        </w:tabs>
        <w:ind w:left="3224" w:hanging="420"/>
      </w:pPr>
      <w:rPr>
        <w:rFonts w:cs="Times New Roman"/>
      </w:rPr>
    </w:lvl>
    <w:lvl w:ilvl="7" w:tentative="0">
      <w:start w:val="1"/>
      <w:numFmt w:val="lowerLetter"/>
      <w:lvlText w:val="%8)"/>
      <w:lvlJc w:val="left"/>
      <w:pPr>
        <w:tabs>
          <w:tab w:val="left" w:pos="3644"/>
        </w:tabs>
        <w:ind w:left="3644" w:hanging="420"/>
      </w:pPr>
      <w:rPr>
        <w:rFonts w:cs="Times New Roman"/>
      </w:rPr>
    </w:lvl>
    <w:lvl w:ilvl="8" w:tentative="0">
      <w:start w:val="1"/>
      <w:numFmt w:val="lowerRoman"/>
      <w:lvlText w:val="%9."/>
      <w:lvlJc w:val="right"/>
      <w:pPr>
        <w:tabs>
          <w:tab w:val="left" w:pos="4064"/>
        </w:tabs>
        <w:ind w:left="4064" w:hanging="420"/>
      </w:pPr>
      <w:rPr>
        <w:rFonts w:cs="Times New Roman"/>
      </w:rPr>
    </w:lvl>
  </w:abstractNum>
  <w:abstractNum w:abstractNumId="2">
    <w:nsid w:val="00000006"/>
    <w:multiLevelType w:val="multilevel"/>
    <w:tmpl w:val="00000006"/>
    <w:lvl w:ilvl="0" w:tentative="0">
      <w:start w:val="1"/>
      <w:numFmt w:val="japaneseCounting"/>
      <w:lvlText w:val="（%1）"/>
      <w:lvlJc w:val="left"/>
      <w:pPr>
        <w:ind w:left="1140" w:hanging="720"/>
      </w:pPr>
      <w:rPr>
        <w:rFonts w:hint="eastAsia" w:cs="Times New Roman"/>
      </w:rPr>
    </w:lvl>
    <w:lvl w:ilvl="1" w:tentative="0">
      <w:start w:val="1"/>
      <w:numFmt w:val="lowerLetter"/>
      <w:lvlText w:val="%2)"/>
      <w:lvlJc w:val="left"/>
      <w:pPr>
        <w:ind w:left="1380" w:hanging="480"/>
      </w:pPr>
      <w:rPr>
        <w:rFonts w:cs="Times New Roman"/>
      </w:rPr>
    </w:lvl>
    <w:lvl w:ilvl="2" w:tentative="0">
      <w:start w:val="1"/>
      <w:numFmt w:val="lowerRoman"/>
      <w:lvlText w:val="%3."/>
      <w:lvlJc w:val="right"/>
      <w:pPr>
        <w:ind w:left="1860" w:hanging="480"/>
      </w:pPr>
      <w:rPr>
        <w:rFonts w:cs="Times New Roman"/>
      </w:rPr>
    </w:lvl>
    <w:lvl w:ilvl="3" w:tentative="0">
      <w:start w:val="1"/>
      <w:numFmt w:val="decimal"/>
      <w:lvlText w:val="%4."/>
      <w:lvlJc w:val="left"/>
      <w:pPr>
        <w:ind w:left="2340" w:hanging="480"/>
      </w:pPr>
      <w:rPr>
        <w:rFonts w:cs="Times New Roman"/>
      </w:rPr>
    </w:lvl>
    <w:lvl w:ilvl="4" w:tentative="0">
      <w:start w:val="1"/>
      <w:numFmt w:val="lowerLetter"/>
      <w:lvlText w:val="%5)"/>
      <w:lvlJc w:val="left"/>
      <w:pPr>
        <w:ind w:left="2820" w:hanging="480"/>
      </w:pPr>
      <w:rPr>
        <w:rFonts w:cs="Times New Roman"/>
      </w:rPr>
    </w:lvl>
    <w:lvl w:ilvl="5" w:tentative="0">
      <w:start w:val="1"/>
      <w:numFmt w:val="lowerRoman"/>
      <w:lvlText w:val="%6."/>
      <w:lvlJc w:val="right"/>
      <w:pPr>
        <w:ind w:left="3300" w:hanging="480"/>
      </w:pPr>
      <w:rPr>
        <w:rFonts w:cs="Times New Roman"/>
      </w:rPr>
    </w:lvl>
    <w:lvl w:ilvl="6" w:tentative="0">
      <w:start w:val="1"/>
      <w:numFmt w:val="decimal"/>
      <w:lvlText w:val="%7."/>
      <w:lvlJc w:val="left"/>
      <w:pPr>
        <w:ind w:left="3780" w:hanging="480"/>
      </w:pPr>
      <w:rPr>
        <w:rFonts w:cs="Times New Roman"/>
      </w:rPr>
    </w:lvl>
    <w:lvl w:ilvl="7" w:tentative="0">
      <w:start w:val="1"/>
      <w:numFmt w:val="lowerLetter"/>
      <w:lvlText w:val="%8)"/>
      <w:lvlJc w:val="left"/>
      <w:pPr>
        <w:ind w:left="4260" w:hanging="480"/>
      </w:pPr>
      <w:rPr>
        <w:rFonts w:cs="Times New Roman"/>
      </w:rPr>
    </w:lvl>
    <w:lvl w:ilvl="8" w:tentative="0">
      <w:start w:val="1"/>
      <w:numFmt w:val="lowerRoman"/>
      <w:lvlText w:val="%9."/>
      <w:lvlJc w:val="right"/>
      <w:pPr>
        <w:ind w:left="4740" w:hanging="480"/>
      </w:pPr>
      <w:rPr>
        <w:rFonts w:cs="Times New Roman"/>
      </w:rPr>
    </w:lvl>
  </w:abstractNum>
  <w:abstractNum w:abstractNumId="3">
    <w:nsid w:val="5B3CE8FC"/>
    <w:multiLevelType w:val="singleLevel"/>
    <w:tmpl w:val="5B3CE8FC"/>
    <w:lvl w:ilvl="0" w:tentative="0">
      <w:start w:val="6"/>
      <w:numFmt w:val="decimal"/>
      <w:suff w:val="space"/>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3MDk3N2I3YjI3N2YyYTJjNWI5MzFmZTI0YzI4NDcifQ=="/>
  </w:docVars>
  <w:rsids>
    <w:rsidRoot w:val="00000000"/>
    <w:rsid w:val="03E308DB"/>
    <w:rsid w:val="084D3C61"/>
    <w:rsid w:val="0CC767B4"/>
    <w:rsid w:val="0D925A8E"/>
    <w:rsid w:val="118317D4"/>
    <w:rsid w:val="14ED709A"/>
    <w:rsid w:val="1893442D"/>
    <w:rsid w:val="1BCF3941"/>
    <w:rsid w:val="1F9A5520"/>
    <w:rsid w:val="20546C55"/>
    <w:rsid w:val="22F178E9"/>
    <w:rsid w:val="27263ABF"/>
    <w:rsid w:val="283B4FCD"/>
    <w:rsid w:val="2D281480"/>
    <w:rsid w:val="30732C5A"/>
    <w:rsid w:val="327F2071"/>
    <w:rsid w:val="35B77BB1"/>
    <w:rsid w:val="36381B14"/>
    <w:rsid w:val="365B66C8"/>
    <w:rsid w:val="36F03849"/>
    <w:rsid w:val="38CB1A65"/>
    <w:rsid w:val="3F73541C"/>
    <w:rsid w:val="42451539"/>
    <w:rsid w:val="44065A24"/>
    <w:rsid w:val="46BB2AB9"/>
    <w:rsid w:val="47EF25B5"/>
    <w:rsid w:val="4824510C"/>
    <w:rsid w:val="48581477"/>
    <w:rsid w:val="4AE3697D"/>
    <w:rsid w:val="4B3F4BB1"/>
    <w:rsid w:val="4B9F4D3F"/>
    <w:rsid w:val="529576FF"/>
    <w:rsid w:val="53435DE0"/>
    <w:rsid w:val="54CE171B"/>
    <w:rsid w:val="56B40C78"/>
    <w:rsid w:val="5F7100C5"/>
    <w:rsid w:val="617A3322"/>
    <w:rsid w:val="61C20628"/>
    <w:rsid w:val="64E52160"/>
    <w:rsid w:val="68CB61E5"/>
    <w:rsid w:val="693A01C6"/>
    <w:rsid w:val="69A04A6E"/>
    <w:rsid w:val="69B8482E"/>
    <w:rsid w:val="6EBE76C4"/>
    <w:rsid w:val="6F733EB5"/>
    <w:rsid w:val="708F58A3"/>
    <w:rsid w:val="73CC0A17"/>
    <w:rsid w:val="76456EC5"/>
    <w:rsid w:val="79523E83"/>
    <w:rsid w:val="7A674A59"/>
    <w:rsid w:val="7BDD3AFB"/>
    <w:rsid w:val="7E6160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qFormat/>
    <w:uiPriority w:val="1"/>
    <w:rPr>
      <w:rFonts w:ascii="黑体" w:hAnsi="黑体" w:eastAsia="黑体" w:cs="黑体"/>
      <w:sz w:val="28"/>
      <w:szCs w:val="28"/>
      <w:lang w:val="ca-ES" w:eastAsia="en-US"/>
    </w:r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段"/>
    <w:qFormat/>
    <w:uiPriority w:val="0"/>
    <w:pPr>
      <w:autoSpaceDE w:val="0"/>
      <w:autoSpaceDN w:val="0"/>
      <w:ind w:firstLine="420" w:firstLineChars="200"/>
      <w:jc w:val="both"/>
    </w:pPr>
    <w:rPr>
      <w:rFonts w:ascii="宋体"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emf"/><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10670</Words>
  <Characters>13130</Characters>
  <Lines>0</Lines>
  <Paragraphs>0</Paragraphs>
  <TotalTime>0</TotalTime>
  <ScaleCrop>false</ScaleCrop>
  <LinksUpToDate>false</LinksUpToDate>
  <CharactersWithSpaces>13324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2022-09-27T08:06:00Z</dcterms:created>
  <dc:creator>liangmeidan-pc</dc:creator>
  <cp:lastModifiedBy>Margaret</cp:lastModifiedBy>
  <cp:lastPrinted>2022-09-28T06:40:00Z</cp:lastPrinted>
  <dcterms:modified xsi:type="dcterms:W3CDTF">2022-09-30T13:32:56Z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09774EA7283B47438C04B6BAA07A91E2</vt:lpwstr>
  </property>
</Properties>
</file>