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E" w:rsidRPr="00D14157" w:rsidRDefault="00BE165E" w:rsidP="00BE165E">
      <w:pPr>
        <w:tabs>
          <w:tab w:val="left" w:pos="855"/>
        </w:tabs>
        <w:rPr>
          <w:rFonts w:ascii="仿宋_GB2312" w:eastAsia="仿宋_GB2312"/>
          <w:color w:val="000000"/>
        </w:rPr>
      </w:pPr>
      <w:r w:rsidRPr="00D14157">
        <w:rPr>
          <w:rFonts w:ascii="仿宋_GB2312" w:eastAsia="仿宋_GB2312" w:hAnsi="仿宋" w:hint="eastAsia"/>
          <w:bCs/>
          <w:color w:val="000000"/>
          <w:sz w:val="32"/>
          <w:szCs w:val="32"/>
        </w:rPr>
        <w:t>附件</w:t>
      </w:r>
      <w:r w:rsidR="00E6700F">
        <w:rPr>
          <w:rFonts w:ascii="仿宋_GB2312" w:eastAsia="仿宋_GB2312" w:hAnsi="仿宋" w:hint="eastAsia"/>
          <w:bCs/>
          <w:color w:val="000000"/>
          <w:sz w:val="32"/>
          <w:szCs w:val="32"/>
        </w:rPr>
        <w:t>2</w:t>
      </w:r>
    </w:p>
    <w:p w:rsidR="00BE165E" w:rsidRDefault="00BE165E" w:rsidP="00BE165E">
      <w:pPr>
        <w:pStyle w:val="1"/>
        <w:spacing w:line="52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 w:rsidRPr="0012701F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广东省</w:t>
      </w:r>
      <w:r w:rsidRPr="0012701F"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</w:rPr>
        <w:t>优质中药饮片</w:t>
      </w:r>
      <w:r w:rsidR="00791F4D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推荐</w:t>
      </w:r>
      <w:r w:rsidRPr="0012701F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办法</w:t>
      </w:r>
    </w:p>
    <w:p w:rsidR="00BE165E" w:rsidRPr="00BE165E" w:rsidRDefault="00BE165E" w:rsidP="00BE165E">
      <w:pPr>
        <w:pStyle w:val="1"/>
        <w:jc w:val="center"/>
        <w:rPr>
          <w:rFonts w:ascii="楷体" w:eastAsia="楷体" w:hAnsi="楷体" w:cs="方正小标宋简体"/>
          <w:sz w:val="28"/>
          <w:szCs w:val="28"/>
        </w:rPr>
      </w:pPr>
      <w:r w:rsidRPr="00BE165E">
        <w:rPr>
          <w:rFonts w:ascii="楷体" w:eastAsia="楷体" w:hAnsi="楷体" w:cs="方正小标宋简体" w:hint="eastAsia"/>
          <w:b w:val="0"/>
          <w:bCs w:val="0"/>
          <w:sz w:val="28"/>
          <w:szCs w:val="28"/>
        </w:rPr>
        <w:t>（试行）</w:t>
      </w:r>
    </w:p>
    <w:p w:rsidR="00BE165E" w:rsidRPr="00FD6BA3" w:rsidRDefault="00BE165E" w:rsidP="00BE165E">
      <w:pPr>
        <w:widowControl/>
        <w:spacing w:line="560" w:lineRule="exact"/>
        <w:ind w:left="56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t>优质饮片定义</w:t>
      </w:r>
    </w:p>
    <w:p w:rsidR="00BE165E" w:rsidRPr="00FD6BA3" w:rsidRDefault="00BE165E" w:rsidP="00BE165E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优质饮片系指来源于道地产区的优质药材，按照规范化的炮制工艺生产，外观性状优良、内在质量稳定可控的中药饮片。</w:t>
      </w:r>
    </w:p>
    <w:p w:rsidR="00BE165E" w:rsidRPr="00FD6BA3" w:rsidRDefault="00BE165E" w:rsidP="00BE165E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t>优质饮片质量评价内容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原料药材要求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br/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基源明确，产地(道地产区或规模化生严基地)清楚，采收加工规范，药材质量优良可控。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（二）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炮制工艺要求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br/>
        <w:t xml:space="preserve">    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炮制工艺依照《中国药典》现行版，《全国中药炮制规范》或各省市炮制规范收载的饮片炮制通则执行，关键技术规范可控；生产企业必须严格执行GMP管理。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（三）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饮片质量要求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性状：片型及规格，色泽、气味，质地、均匀性等：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鉴别：包括显微别、理化鉴别、色谱鉴别、光谱鉴别等，建立特征图谱；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检查：包括杂质、水分、灰分、有毒有害物质等；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含量测定：以主成分或指标成分为检测指标，主成分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>总量稳定在一定范围之内。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（四）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饮片包装及贮藏</w:t>
      </w:r>
    </w:p>
    <w:p w:rsidR="00BE165E" w:rsidRPr="00FD6BA3" w:rsidRDefault="00BE165E" w:rsidP="00BE165E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根据饮片稳定性考察结果，明确饮片包装材料，规格及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>储藏条件、保质期等。</w:t>
      </w:r>
    </w:p>
    <w:p w:rsidR="00BE165E" w:rsidRPr="00FD6BA3" w:rsidRDefault="00BE165E" w:rsidP="00BE165E">
      <w:pPr>
        <w:widowControl/>
        <w:spacing w:line="560" w:lineRule="exact"/>
        <w:ind w:leftChars="267" w:left="561"/>
        <w:jc w:val="left"/>
        <w:rPr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三、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t>申报单位综合能力评价内容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产品质量管理水平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申报产品执行的标准及标准水平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原科来源及质量控制情况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生产过程质量管理情况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产品质量检验报告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申报产品知识产权情况(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成果奖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，专利等)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（二）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诚信评价</w:t>
      </w:r>
    </w:p>
    <w:p w:rsidR="00BE165E" w:rsidRPr="00FD6BA3" w:rsidRDefault="00BE165E" w:rsidP="00BE165E">
      <w:pPr>
        <w:pStyle w:val="2"/>
        <w:tabs>
          <w:tab w:val="left" w:pos="540"/>
          <w:tab w:val="left" w:pos="72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企业获得质量管理荣誉</w:t>
      </w:r>
    </w:p>
    <w:p w:rsidR="00BE165E" w:rsidRPr="00FD6BA3" w:rsidRDefault="00BE165E" w:rsidP="00BE165E">
      <w:pPr>
        <w:pStyle w:val="2"/>
        <w:tabs>
          <w:tab w:val="left" w:pos="540"/>
          <w:tab w:val="left" w:pos="72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 xml:space="preserve">企业质量专业技术人员职业资格获证情况 </w:t>
      </w:r>
    </w:p>
    <w:p w:rsidR="00BE165E" w:rsidRPr="00FD6BA3" w:rsidRDefault="00BE165E" w:rsidP="00BE165E">
      <w:pPr>
        <w:pStyle w:val="2"/>
        <w:tabs>
          <w:tab w:val="left" w:pos="540"/>
          <w:tab w:val="left" w:pos="72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 xml:space="preserve">企业对市场情况的反应机制以及售后服务情况 </w:t>
      </w:r>
    </w:p>
    <w:p w:rsidR="00BE165E" w:rsidRPr="00D14157" w:rsidRDefault="00BE165E" w:rsidP="00BE165E">
      <w:pPr>
        <w:spacing w:line="560" w:lineRule="exact"/>
        <w:ind w:firstLineChars="196" w:firstLine="551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（三）创新能力评价</w:t>
      </w:r>
    </w:p>
    <w:p w:rsidR="00BE165E" w:rsidRPr="00FD6BA3" w:rsidRDefault="00BE165E" w:rsidP="00BE165E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产品开发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1）技术中心或工程研究中心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2）企业采用新技术、新工艺、新材料情况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2"/>
        <w:rPr>
          <w:rFonts w:ascii="仿宋_GB2312" w:eastAsia="仿宋_GB2312" w:hAnsi="仿宋_GB2312" w:cs="仿宋_GB2312" w:hint="default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FD6BA3">
        <w:rPr>
          <w:rFonts w:ascii="仿宋_GB2312" w:eastAsia="仿宋_GB2312" w:hAnsi="仿宋_GB2312" w:cs="仿宋_GB2312"/>
          <w:bCs/>
          <w:sz w:val="28"/>
          <w:szCs w:val="28"/>
        </w:rPr>
        <w:t xml:space="preserve">核心技术能力 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25" w:firstLine="63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1）获得专利情况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25" w:firstLine="63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2）获得高新技术生产企业认定情况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25" w:firstLine="63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 xml:space="preserve">3）参与或承担国家科研项目情况  </w:t>
      </w:r>
    </w:p>
    <w:p w:rsidR="00BE165E" w:rsidRPr="00FD6BA3" w:rsidRDefault="00BE165E" w:rsidP="00BE165E">
      <w:pPr>
        <w:pStyle w:val="1"/>
        <w:spacing w:before="0" w:beforeAutospacing="0" w:after="0" w:afterAutospacing="0" w:line="560" w:lineRule="exact"/>
        <w:ind w:firstLineChars="200" w:firstLine="560"/>
        <w:rPr>
          <w:rFonts w:ascii="黑体" w:eastAsia="黑体" w:hAnsi="黑体" w:cs="黑体"/>
          <w:b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sz w:val="28"/>
          <w:szCs w:val="28"/>
        </w:rPr>
        <w:t>四</w:t>
      </w:r>
      <w:r w:rsidRPr="00FD6BA3">
        <w:rPr>
          <w:rFonts w:ascii="黑体" w:eastAsia="黑体" w:hAnsi="黑体" w:cs="黑体" w:hint="eastAsia"/>
          <w:b w:val="0"/>
          <w:sz w:val="28"/>
          <w:szCs w:val="28"/>
        </w:rPr>
        <w:t>、申报条件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申报企业必须是取得药品生产许可证、营业执照、GMP证书及中药饮片生产企业；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饮片一般指临床常用饮片；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饮片连续生产销售3年以上（含3年）；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饮片近3年内经省级以上（含省级）药品监督部门质量抽检合格；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饮片生产工艺先进，技术水平处于领先地位；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饮片的实物量达到国内同类产品先进水平，市场占有率和用户满意度高，具有较强市场竞争力；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其中上述条款中的1、2、3、4为必备条件。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五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t>、饮片样品及申报材料要求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cs="宋体"/>
          <w:bCs/>
          <w:kern w:val="0"/>
          <w:sz w:val="28"/>
          <w:szCs w:val="28"/>
        </w:rPr>
        <w:t xml:space="preserve">   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同一饮片至少提供3个批次（完整包装），每批不少于500g（对于质量有重大歧义的饮片，需要进一步复核检验的，应提供所需的每个对照品至少20mg）。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（二）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三批饮片的质量检验报告。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（三）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与申报饮片相关的技术材料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原料药材质量标准及相关研究材料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饮片生产工艺标准及相关研究材料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饮片质量标准及起草说明等相关材料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（四）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与申报饮片相关的课题、成果等资料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承担各级科研课题任务书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授权或申报专利证书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获得成果奖励证明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4.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地理标示产品等相关的产品证明</w:t>
      </w:r>
    </w:p>
    <w:p w:rsidR="00BE165E" w:rsidRPr="00FD6BA3" w:rsidRDefault="00BE165E" w:rsidP="00BE165E">
      <w:pPr>
        <w:pStyle w:val="1"/>
        <w:spacing w:before="0" w:beforeAutospacing="0" w:after="0" w:afterAutospacing="0" w:line="560" w:lineRule="exact"/>
        <w:ind w:firstLineChars="200" w:firstLine="560"/>
        <w:rPr>
          <w:rFonts w:ascii="黑体" w:eastAsia="黑体" w:hAnsi="黑体" w:cs="黑体"/>
          <w:b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sz w:val="28"/>
          <w:szCs w:val="28"/>
        </w:rPr>
        <w:t>六</w:t>
      </w:r>
      <w:r w:rsidRPr="00FD6BA3">
        <w:rPr>
          <w:rFonts w:ascii="黑体" w:eastAsia="黑体" w:hAnsi="黑体" w:cs="黑体" w:hint="eastAsia"/>
          <w:b w:val="0"/>
          <w:sz w:val="28"/>
          <w:szCs w:val="28"/>
        </w:rPr>
        <w:t>、认定程序</w:t>
      </w:r>
    </w:p>
    <w:p w:rsidR="00BE165E" w:rsidRPr="00FD6BA3" w:rsidRDefault="00BE165E" w:rsidP="00BE165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hint="eastAsia"/>
          <w:sz w:val="28"/>
          <w:szCs w:val="28"/>
        </w:rPr>
        <w:t xml:space="preserve"> 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FD6BA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企业申报 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（以饮片实际生产企业为主体进行申报）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（二）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专家评定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广东省医药行业协会中医药专业分会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对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申报材料进行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形式审查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；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Pr="00FD6BA3">
        <w:rPr>
          <w:rFonts w:ascii="仿宋_GB2312" w:eastAsia="仿宋_GB2312" w:hAnsi="宋体" w:hint="eastAsia"/>
          <w:sz w:val="28"/>
          <w:szCs w:val="28"/>
        </w:rPr>
        <w:t>广东省南方食品医药行业评估中心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组织相关专家到参评企业生产场所及药材种植基地实地审查。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3.</w:t>
      </w:r>
      <w:r w:rsidRPr="00FD6BA3">
        <w:rPr>
          <w:rFonts w:ascii="仿宋_GB2312" w:eastAsia="仿宋_GB2312" w:hAnsi="宋体" w:hint="eastAsia"/>
          <w:sz w:val="28"/>
          <w:szCs w:val="28"/>
        </w:rPr>
        <w:t>广东省南方食品医药行业评估中心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组织相关专家对参评企业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资料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和所提供中药饮片样品进行评分，确定入选广东省优质中药饮片。</w:t>
      </w:r>
    </w:p>
    <w:p w:rsidR="00BE165E" w:rsidRPr="001C508A" w:rsidRDefault="00BE165E" w:rsidP="00BE165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 w:rsidRPr="001C508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公示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与结果发布</w:t>
      </w:r>
    </w:p>
    <w:p w:rsidR="00BE165E" w:rsidRDefault="00BE165E" w:rsidP="00BE165E">
      <w:pPr>
        <w:pStyle w:val="a3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D6BA3">
        <w:rPr>
          <w:rFonts w:ascii="仿宋_GB2312" w:eastAsia="仿宋_GB2312" w:hAnsi="宋体" w:hint="eastAsia"/>
          <w:sz w:val="28"/>
          <w:szCs w:val="28"/>
        </w:rPr>
        <w:t>广东省南方食品医药行业评估中心</w:t>
      </w:r>
      <w:r w:rsidRPr="00FD6BA3">
        <w:rPr>
          <w:rFonts w:ascii="Times New Roman" w:eastAsia="仿宋_GB2312" w:hAnsi="Times New Roman" w:hint="eastAsia"/>
          <w:sz w:val="28"/>
          <w:szCs w:val="28"/>
        </w:rPr>
        <w:t>向社会公示</w:t>
      </w:r>
      <w:r>
        <w:rPr>
          <w:rFonts w:ascii="Times New Roman" w:eastAsia="仿宋_GB2312" w:hAnsi="Times New Roman" w:hint="eastAsia"/>
          <w:sz w:val="28"/>
          <w:szCs w:val="28"/>
        </w:rPr>
        <w:t>专家评价</w:t>
      </w:r>
      <w:r w:rsidRPr="00FD6BA3">
        <w:rPr>
          <w:rFonts w:ascii="Times New Roman" w:eastAsia="仿宋_GB2312" w:hAnsi="Times New Roman" w:hint="eastAsia"/>
          <w:sz w:val="28"/>
          <w:szCs w:val="28"/>
        </w:rPr>
        <w:t>结果，自公</w:t>
      </w:r>
      <w:r>
        <w:rPr>
          <w:rFonts w:ascii="Times New Roman" w:eastAsia="仿宋_GB2312" w:hAnsi="Times New Roman" w:hint="eastAsia"/>
          <w:sz w:val="28"/>
          <w:szCs w:val="28"/>
        </w:rPr>
        <w:t>示</w:t>
      </w:r>
      <w:r w:rsidRPr="00FD6BA3">
        <w:rPr>
          <w:rFonts w:ascii="Times New Roman" w:eastAsia="仿宋_GB2312" w:hAnsi="Times New Roman" w:hint="eastAsia"/>
          <w:sz w:val="28"/>
          <w:szCs w:val="28"/>
        </w:rPr>
        <w:t>之日起七天内为异议期。如有异议，则以书面形式上报</w:t>
      </w:r>
      <w:r>
        <w:rPr>
          <w:rFonts w:ascii="Times New Roman" w:eastAsia="仿宋_GB2312" w:hAnsi="Times New Roman" w:hint="eastAsia"/>
          <w:sz w:val="28"/>
          <w:szCs w:val="28"/>
        </w:rPr>
        <w:t>中共广东省医药行业</w:t>
      </w:r>
      <w:r w:rsidRPr="00FD6BA3">
        <w:rPr>
          <w:rFonts w:ascii="Times New Roman" w:eastAsia="仿宋_GB2312" w:hAnsi="Times New Roman" w:hint="eastAsia"/>
          <w:sz w:val="28"/>
          <w:szCs w:val="28"/>
        </w:rPr>
        <w:t>协会</w:t>
      </w:r>
      <w:r>
        <w:rPr>
          <w:rFonts w:ascii="Times New Roman" w:eastAsia="仿宋_GB2312" w:hAnsi="Times New Roman" w:hint="eastAsia"/>
          <w:sz w:val="28"/>
          <w:szCs w:val="28"/>
        </w:rPr>
        <w:t>纪律检查工作委员会</w:t>
      </w:r>
      <w:r w:rsidRPr="00FD6BA3">
        <w:rPr>
          <w:rFonts w:ascii="Times New Roman" w:eastAsia="仿宋_GB2312" w:hAnsi="Times New Roman" w:hint="eastAsia"/>
          <w:sz w:val="28"/>
          <w:szCs w:val="28"/>
        </w:rPr>
        <w:t>裁决。超过异议期提出异议的，一般不予受理（弄虚作假或有原则性错误的除外）。</w:t>
      </w:r>
    </w:p>
    <w:p w:rsidR="00BE165E" w:rsidRPr="001C508A" w:rsidRDefault="00BE165E" w:rsidP="00BE165E">
      <w:pPr>
        <w:pStyle w:val="a3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公示结束后，</w:t>
      </w:r>
      <w:r>
        <w:rPr>
          <w:rFonts w:ascii="Times New Roman" w:eastAsia="仿宋_GB2312" w:hAnsi="Times New Roman" w:hint="eastAsia"/>
          <w:sz w:val="28"/>
          <w:szCs w:val="28"/>
        </w:rPr>
        <w:t>广东省医药行业</w:t>
      </w:r>
      <w:r w:rsidRPr="00FD6BA3">
        <w:rPr>
          <w:rFonts w:ascii="Times New Roman" w:eastAsia="仿宋_GB2312" w:hAnsi="Times New Roman" w:hint="eastAsia"/>
          <w:sz w:val="28"/>
          <w:szCs w:val="28"/>
        </w:rPr>
        <w:t>协会</w:t>
      </w:r>
      <w:r>
        <w:rPr>
          <w:rFonts w:ascii="Times New Roman" w:eastAsia="仿宋_GB2312" w:hAnsi="Times New Roman" w:hint="eastAsia"/>
          <w:sz w:val="28"/>
          <w:szCs w:val="28"/>
        </w:rPr>
        <w:t>将向社会发布评定结果，并通报各有关部门。</w:t>
      </w:r>
    </w:p>
    <w:p w:rsidR="00BE165E" w:rsidRPr="00F3203B" w:rsidRDefault="00BE165E" w:rsidP="00BE165E">
      <w:pPr>
        <w:pStyle w:val="1"/>
        <w:spacing w:before="0" w:beforeAutospacing="0" w:after="0" w:afterAutospacing="0" w:line="560" w:lineRule="exact"/>
        <w:ind w:firstLineChars="196" w:firstLine="55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Pr="00F3203B">
        <w:rPr>
          <w:rFonts w:ascii="黑体" w:eastAsia="黑体" w:hAnsi="黑体"/>
          <w:sz w:val="28"/>
          <w:szCs w:val="28"/>
        </w:rPr>
        <w:t>、撤销条件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1. 申报品种被国家、省级食品药品监督管理部门通报；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2. 申报企业发生重大质量事故、重大安全事故及重大用户投诉的；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3. 申报品种临床安全性出现问题的；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4. 申报品种有低价倾销等不正当行为的；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5. 被药监部门取消GMP认证证书的企业；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以上条件具备其一者即可被否决，价格公布后出现质量问题且有否决条件之一的撤消其优质饮片资格。</w:t>
      </w:r>
    </w:p>
    <w:p w:rsidR="00BE165E" w:rsidRDefault="00BE165E" w:rsidP="00BE165E"/>
    <w:p w:rsidR="00BE165E" w:rsidRDefault="00BE165E" w:rsidP="00BE165E"/>
    <w:p w:rsidR="007755D4" w:rsidRPr="00BE165E" w:rsidRDefault="007755D4"/>
    <w:sectPr w:rsidR="007755D4" w:rsidRPr="00BE165E" w:rsidSect="00D1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CE" w:rsidRDefault="008532CE" w:rsidP="00E6700F">
      <w:r>
        <w:separator/>
      </w:r>
    </w:p>
  </w:endnote>
  <w:endnote w:type="continuationSeparator" w:id="1">
    <w:p w:rsidR="008532CE" w:rsidRDefault="008532CE" w:rsidP="00E6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CE" w:rsidRDefault="008532CE" w:rsidP="00E6700F">
      <w:r>
        <w:separator/>
      </w:r>
    </w:p>
  </w:footnote>
  <w:footnote w:type="continuationSeparator" w:id="1">
    <w:p w:rsidR="008532CE" w:rsidRDefault="008532CE" w:rsidP="00E67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B4B"/>
    <w:multiLevelType w:val="hybridMultilevel"/>
    <w:tmpl w:val="AB9038C0"/>
    <w:lvl w:ilvl="0" w:tplc="4984B9C0">
      <w:start w:val="3"/>
      <w:numFmt w:val="japaneseCounting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65E"/>
    <w:rsid w:val="007755D4"/>
    <w:rsid w:val="00791F4D"/>
    <w:rsid w:val="008532CE"/>
    <w:rsid w:val="00BE165E"/>
    <w:rsid w:val="00DC3FDC"/>
    <w:rsid w:val="00E6700F"/>
    <w:rsid w:val="00F5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E165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BE165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16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BE165E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Plain Text"/>
    <w:basedOn w:val="a"/>
    <w:link w:val="Char"/>
    <w:rsid w:val="00BE165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E165E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BE165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6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670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67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670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dongate</dc:creator>
  <cp:keywords/>
  <dc:description/>
  <cp:lastModifiedBy>Windows 用户</cp:lastModifiedBy>
  <cp:revision>5</cp:revision>
  <dcterms:created xsi:type="dcterms:W3CDTF">2020-03-19T10:39:00Z</dcterms:created>
  <dcterms:modified xsi:type="dcterms:W3CDTF">2021-03-16T09:32:00Z</dcterms:modified>
</cp:coreProperties>
</file>